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EIAD</w:t>
      </w:r>
      <w:r>
        <w:t xml:space="preserve"> </w:t>
      </w:r>
      <w:r>
        <w:t xml:space="preserve">139.</w:t>
      </w:r>
      <w:r>
        <w:t xml:space="preserve"> </w:t>
      </w:r>
      <w:r>
        <w:t xml:space="preserve">Octagonal</w:t>
      </w:r>
      <w:r>
        <w:t xml:space="preserve"> </w:t>
      </w:r>
      <w:r>
        <w:t xml:space="preserve">pillar</w:t>
      </w:r>
      <w:r>
        <w:t xml:space="preserve"> </w:t>
      </w:r>
      <w:r>
        <w:t xml:space="preserve">from</w:t>
      </w:r>
      <w:r>
        <w:t xml:space="preserve"> </w:t>
      </w:r>
      <w:r>
        <w:t xml:space="preserve">Manchikallu</w:t>
      </w:r>
      <w:r>
        <w:t xml:space="preserve"> </w:t>
      </w:r>
      <w:r>
        <w:t xml:space="preserve">—</w:t>
      </w:r>
      <w:r>
        <w:t xml:space="preserve"> </w:t>
      </w:r>
      <w:r>
        <w:t xml:space="preserve">reign</w:t>
      </w:r>
      <w:r>
        <w:t xml:space="preserve"> </w:t>
      </w:r>
      <w:r>
        <w:t xml:space="preserve">of</w:t>
      </w:r>
      <w:r>
        <w:t xml:space="preserve"> </w:t>
      </w:r>
      <w:r>
        <w:t xml:space="preserve">Sīhavamma</w:t>
      </w:r>
    </w:p>
    <w:p>
      <w:pPr>
        <w:pStyle w:val="Author"/>
      </w:pPr>
      <w:r>
        <w:t xml:space="preserve">Arlo</w:t>
      </w:r>
      <w:r>
        <w:t xml:space="preserve"> </w:t>
      </w:r>
      <w:r>
        <w:t xml:space="preserve">Griffiths</w:t>
      </w:r>
      <w:r>
        <w:t xml:space="preserve"> </w:t>
      </w:r>
      <w:r>
        <w:t xml:space="preserve">and</w:t>
      </w:r>
      <w:r>
        <w:t xml:space="preserve"> </w:t>
      </w:r>
      <w:r>
        <w:t xml:space="preserve">Vincent</w:t>
      </w:r>
      <w:r>
        <w:t xml:space="preserve"> </w:t>
      </w:r>
      <w:r>
        <w:t xml:space="preserve">Tournier</w:t>
      </w:r>
    </w:p>
    <w:p>
      <w:pPr>
        <w:pStyle w:val="FirstParagraph"/>
      </w:pPr>
      <w:r>
        <w:t xml:space="preserve">Identifier: DHARMA_INSEIAD00139</w:t>
      </w:r>
    </w:p>
    <w:p>
      <w:pPr>
        <w:pStyle w:val="BodyText"/>
      </w:pPr>
      <w:r>
        <w:t xml:space="preserve">Repository: Early Āndhradeśa (tfb-eiad-epigraphy)</w:t>
      </w:r>
    </w:p>
    <w:p>
      <w:pPr>
        <w:pStyle w:val="BodyText"/>
      </w:pPr>
      <w:r>
        <w:t xml:space="preserve">Commit: 2026-09-22 13:22 (151ff65), last modified 2026-09-21 18:13 (3db1cff)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siddha(ṁ) ∥⁓bhāradāya(sa)go(ttena) [4+](dha)reṇa palavāṇaṁ sī(ha)</w:t>
      </w:r>
      <w:r>
        <w:rPr>
          <w:rStyle w:val="ColorGray"/>
        </w:rPr>
        <w:t xml:space="preserve">⟨2⟩</w:t>
      </w:r>
      <w:r>
        <w:t xml:space="preserve">vaṁmaṇa _Ap(p)aṇo vejayike [1×][3+](lava)dhaṁṇīke saṁntisathi</w:t>
      </w:r>
      <w:r>
        <w:rPr>
          <w:rStyle w:val="ColorGray"/>
        </w:rPr>
        <w:t xml:space="preserve">⟨3⟩</w:t>
      </w:r>
      <w:r>
        <w:t xml:space="preserve">yāyaṇaṁ kātūṇa _bhaga(va)[to] [siri](jīvaś)ivasāmisa tethika</w:t>
      </w:r>
      <w:r>
        <w:rPr>
          <w:rStyle w:val="ColorGray"/>
        </w:rPr>
        <w:t xml:space="preserve">⟨4⟩</w:t>
      </w:r>
      <w:r>
        <w:t xml:space="preserve">nak(kh)attik(ā)pahārakādi kātaṁ kapa [1×]devakulasa bhag(ga)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⟨Fragment lost⟩</w:t>
      </w:r>
      <w:r>
        <w:rPr>
          <w:rStyle w:val="ColorGray"/>
        </w:rPr>
        <w:t xml:space="preserve"> </w:t>
      </w:r>
      <w:r>
        <w:t xml:space="preserve">[1×][1+]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[7+][1×][5+](sa) pāda(m)[ū]le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⟨Fragment lost⟩</w:t>
      </w:r>
      <w:r>
        <w:rPr>
          <w:rStyle w:val="ColorGray"/>
        </w:rPr>
        <w:t xml:space="preserve"> </w:t>
      </w:r>
      <w:r>
        <w:t xml:space="preserve">[4+]</w:t>
      </w:r>
    </w:p>
    <w:p>
      <w:pPr>
        <w:pStyle w:val="Heading1"/>
      </w:pPr>
      <w:r>
        <w:t xml:space="preserve">Apparatus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t xml:space="preserve"> </w:t>
      </w:r>
      <w:r>
        <w:t xml:space="preserve">bhāradāya(sa)go(ttena) ⬦</w:t>
      </w:r>
      <w:r>
        <w:t xml:space="preserve"> </w:t>
      </w:r>
      <w:r>
        <w:rPr>
          <w:rStyle w:val="ColorGreen"/>
          <w:iCs/>
          <w:i/>
        </w:rPr>
        <w:t xml:space="preserve">bhārādāyasagotta</w:t>
      </w:r>
      <w:r>
        <w:t xml:space="preserve"> </w:t>
      </w:r>
      <w:hyperlink r:id="rId20">
        <w:r>
          <w:rPr>
            <w:rStyle w:val="Hyperlink"/>
          </w:rPr>
          <w:t xml:space="preserve">Seshadri Sastri 1955</w:t>
        </w:r>
      </w:hyperlink>
      <w:r>
        <w:t xml:space="preserve">. —</w:t>
      </w:r>
      <w:r>
        <w:t xml:space="preserve"> </w:t>
      </w:r>
      <w:r>
        <w:rPr>
          <w:rStyle w:val="ColorGray"/>
        </w:rPr>
        <w:t xml:space="preserve">⟨1⟩</w:t>
      </w:r>
      <w:r>
        <w:t xml:space="preserve"> </w:t>
      </w:r>
      <w:r>
        <w:t xml:space="preserve">[4+](dha)reṇa • One expects here a word meaning ‘king’ (‘earth-bearer’), and so restorations like</w:t>
      </w:r>
      <w:r>
        <w:t xml:space="preserve"> </w:t>
      </w:r>
      <w:r>
        <w:rPr>
          <w:iCs/>
          <w:i/>
        </w:rPr>
        <w:t xml:space="preserve">jagatīdhareṇa</w:t>
      </w:r>
      <w:r>
        <w:t xml:space="preserve">,</w:t>
      </w:r>
      <w:r>
        <w:t xml:space="preserve"> </w:t>
      </w:r>
      <w:r>
        <w:rPr>
          <w:iCs/>
          <w:i/>
        </w:rPr>
        <w:t xml:space="preserve">paṭhavīdhareṇa</w:t>
      </w:r>
      <w:r>
        <w:t xml:space="preserve">, etc., are imaginable, although we expect that the lost word for ‘earth’ comprised four akṣaras. —</w:t>
      </w:r>
      <w:r>
        <w:t xml:space="preserve"> </w:t>
      </w:r>
      <w:r>
        <w:rPr>
          <w:rStyle w:val="ColorGray"/>
        </w:rPr>
        <w:t xml:space="preserve">⟨1⟩</w:t>
      </w:r>
      <w:r>
        <w:t xml:space="preserve"> </w:t>
      </w:r>
      <w:r>
        <w:t xml:space="preserve">palavāṇaṁ ⬦</w:t>
      </w:r>
      <w:r>
        <w:t xml:space="preserve"> </w:t>
      </w:r>
      <w:r>
        <w:rPr>
          <w:rStyle w:val="ColorGreen"/>
          <w:iCs/>
          <w:i/>
        </w:rPr>
        <w:t xml:space="preserve">palavānaṁ</w:t>
      </w:r>
      <w:r>
        <w:t xml:space="preserve"> </w:t>
      </w:r>
      <w:hyperlink r:id="rId20">
        <w:r>
          <w:rPr>
            <w:rStyle w:val="Hyperlink"/>
          </w:rPr>
          <w:t xml:space="preserve">Seshadri Sastri 1955</w:t>
        </w:r>
      </w:hyperlink>
      <w:r>
        <w:t xml:space="preserve">.</w:t>
      </w:r>
    </w:p>
    <w:p>
      <w:pPr>
        <w:pStyle w:val="BodyText"/>
      </w:pPr>
      <w:r>
        <w:rPr>
          <w:rStyle w:val="ColorGray"/>
        </w:rPr>
        <w:t xml:space="preserve">⟨2⟩</w:t>
      </w:r>
      <w:r>
        <w:t xml:space="preserve"> </w:t>
      </w:r>
      <w:r>
        <w:t xml:space="preserve">vaṁmaṇa ⬦</w:t>
      </w:r>
      <w:r>
        <w:t xml:space="preserve"> </w:t>
      </w:r>
      <w:r>
        <w:rPr>
          <w:rStyle w:val="ColorGreen"/>
          <w:iCs/>
          <w:i/>
        </w:rPr>
        <w:t xml:space="preserve">vaṁmeṇa</w:t>
      </w:r>
      <w:r>
        <w:t xml:space="preserve"> </w:t>
      </w:r>
      <w:hyperlink r:id="rId20">
        <w:r>
          <w:rPr>
            <w:rStyle w:val="Hyperlink"/>
          </w:rPr>
          <w:t xml:space="preserve">Seshadri Sastri 1955</w:t>
        </w:r>
      </w:hyperlink>
      <w:r>
        <w:t xml:space="preserve">. —</w:t>
      </w:r>
      <w:r>
        <w:t xml:space="preserve"> </w:t>
      </w:r>
      <w:r>
        <w:rPr>
          <w:rStyle w:val="ColorGray"/>
        </w:rPr>
        <w:t xml:space="preserve">⟨2⟩</w:t>
      </w:r>
      <w:r>
        <w:t xml:space="preserve"> </w:t>
      </w:r>
      <w:r>
        <w:t xml:space="preserve">Ap(p)aṇo • The subscript consonant resembles a</w:t>
      </w:r>
      <w:r>
        <w:t xml:space="preserve"> </w:t>
      </w:r>
      <w:r>
        <w:rPr>
          <w:iCs/>
          <w:i/>
        </w:rPr>
        <w:t xml:space="preserve">l</w:t>
      </w:r>
      <w:r>
        <w:t xml:space="preserve"> </w:t>
      </w:r>
      <w:r>
        <w:t xml:space="preserve">but can only have been intended as a</w:t>
      </w:r>
      <w:r>
        <w:t xml:space="preserve"> </w:t>
      </w:r>
      <w:r>
        <w:rPr>
          <w:iCs/>
          <w:i/>
        </w:rPr>
        <w:t xml:space="preserve">p</w:t>
      </w:r>
      <w:r>
        <w:t xml:space="preserve">. —</w:t>
      </w:r>
      <w:r>
        <w:t xml:space="preserve"> </w:t>
      </w:r>
      <w:r>
        <w:rPr>
          <w:rStyle w:val="ColorGray"/>
        </w:rPr>
        <w:t xml:space="preserve">⟨2⟩</w:t>
      </w:r>
      <w:r>
        <w:t xml:space="preserve"> </w:t>
      </w:r>
      <w:r>
        <w:t xml:space="preserve">[1×][3+](lava)dhaṁṇīke ⬦</w:t>
      </w:r>
      <w:r>
        <w:t xml:space="preserve"> </w:t>
      </w:r>
      <w:r>
        <w:rPr>
          <w:rStyle w:val="ColorGreen"/>
          <w:iCs/>
          <w:i/>
        </w:rPr>
        <w:t xml:space="preserve">……. dhaṁṇīka</w:t>
      </w:r>
      <w:r>
        <w:t xml:space="preserve"> </w:t>
      </w:r>
      <w:hyperlink r:id="rId20">
        <w:r>
          <w:rPr>
            <w:rStyle w:val="Hyperlink"/>
          </w:rPr>
          <w:t xml:space="preserve">Seshadri Sastri 1955</w:t>
        </w:r>
      </w:hyperlink>
      <w:r>
        <w:t xml:space="preserve">;</w:t>
      </w:r>
      <w:r>
        <w:t xml:space="preserve"> </w:t>
      </w:r>
      <w:r>
        <w:rPr>
          <w:rStyle w:val="ColorGreen"/>
          <w:iCs/>
          <w:i/>
        </w:rPr>
        <w:t xml:space="preserve">…….. (lava)rdhaṁntike</w:t>
      </w:r>
      <w:r>
        <w:t xml:space="preserve"> </w:t>
      </w:r>
      <w:hyperlink r:id="rId21">
        <w:r>
          <w:rPr>
            <w:rStyle w:val="Hyperlink"/>
          </w:rPr>
          <w:t xml:space="preserve">Sircar [1962] 1957–1958</w:t>
        </w:r>
      </w:hyperlink>
      <w:r>
        <w:t xml:space="preserve"> </w:t>
      </w:r>
      <w:r>
        <w:t xml:space="preserve">• Sircar suggests the text may be restored as follows:</w:t>
      </w:r>
      <w:r>
        <w:t xml:space="preserve"> </w:t>
      </w:r>
      <w:r>
        <w:rPr>
          <w:iCs/>
          <w:i/>
        </w:rPr>
        <w:t xml:space="preserve">dhaṁmabalavardhantike</w:t>
      </w:r>
      <w:r>
        <w:t xml:space="preserve">. As for restoring</w:t>
      </w:r>
      <w:r>
        <w:t xml:space="preserve"> </w:t>
      </w:r>
      <w:r>
        <w:rPr>
          <w:iCs/>
          <w:i/>
        </w:rPr>
        <w:t xml:space="preserve">dhaṁmabala</w:t>
      </w:r>
      <w:r>
        <w:t xml:space="preserve">, this could be supported by citing EIAD</w:t>
      </w:r>
      <w:r>
        <w:t xml:space="preserve"> </w:t>
      </w:r>
      <w:hyperlink r:id="rId22">
        <w:r>
          <w:rPr>
            <w:rStyle w:val="Hyperlink"/>
          </w:rPr>
          <w:t xml:space="preserve">140</w:t>
        </w:r>
      </w:hyperlink>
      <w:r>
        <w:t xml:space="preserve">, l. 5–6:</w:t>
      </w:r>
      <w:r>
        <w:t xml:space="preserve"> </w:t>
      </w:r>
      <w:r>
        <w:rPr>
          <w:iCs/>
          <w:i/>
        </w:rPr>
        <w:t xml:space="preserve">Amhavejayike (dhaṁ)māyubalavadhanike ya</w:t>
      </w:r>
      <w:r>
        <w:t xml:space="preserve">; EIAD</w:t>
      </w:r>
      <w:r>
        <w:t xml:space="preserve"> </w:t>
      </w:r>
      <w:hyperlink r:id="rId23">
        <w:r>
          <w:rPr>
            <w:rStyle w:val="Hyperlink"/>
          </w:rPr>
          <w:t xml:space="preserve">160</w:t>
        </w:r>
      </w:hyperlink>
      <w:r>
        <w:t xml:space="preserve">, l. 3–4:</w:t>
      </w:r>
      <w:r>
        <w:t xml:space="preserve"> </w:t>
      </w:r>
      <w:r>
        <w:rPr>
          <w:iCs/>
          <w:i/>
        </w:rPr>
        <w:t xml:space="preserve">Appaṇo dhammāyubalavivaddhaṇatthaṁ</w:t>
      </w:r>
      <w:r>
        <w:t xml:space="preserve">. But these parallels could equally support restoring</w:t>
      </w:r>
      <w:r>
        <w:t xml:space="preserve"> </w:t>
      </w:r>
      <w:r>
        <w:rPr>
          <w:iCs/>
          <w:i/>
        </w:rPr>
        <w:t xml:space="preserve">Āyubala</w:t>
      </w:r>
      <w:r>
        <w:t xml:space="preserve">. There is definitely not sufficient space for</w:t>
      </w:r>
      <w:r>
        <w:t xml:space="preserve"> </w:t>
      </w:r>
      <w:r>
        <w:rPr>
          <w:iCs/>
          <w:i/>
        </w:rPr>
        <w:t xml:space="preserve">dhaṁma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āyu</w:t>
      </w:r>
      <w:r>
        <w:t xml:space="preserve">. —</w:t>
      </w:r>
      <w:r>
        <w:t xml:space="preserve"> </w:t>
      </w:r>
      <w:r>
        <w:rPr>
          <w:rStyle w:val="ColorGray"/>
        </w:rPr>
        <w:t xml:space="preserve">⟨2⟩</w:t>
      </w:r>
      <w:r>
        <w:t xml:space="preserve"> </w:t>
      </w:r>
      <w:r>
        <w:t xml:space="preserve">saṁntisathi- ⬦</w:t>
      </w:r>
      <w:r>
        <w:t xml:space="preserve"> </w:t>
      </w:r>
      <w:r>
        <w:rPr>
          <w:rStyle w:val="ColorGreen"/>
          <w:iCs/>
          <w:i/>
        </w:rPr>
        <w:t xml:space="preserve">saṁntisathini</w:t>
      </w:r>
      <w:r>
        <w:t xml:space="preserve"> </w:t>
      </w:r>
      <w:hyperlink r:id="rId20">
        <w:r>
          <w:rPr>
            <w:rStyle w:val="Hyperlink"/>
          </w:rPr>
          <w:t xml:space="preserve">Seshadri Sastri 1955</w:t>
        </w:r>
      </w:hyperlink>
      <w:r>
        <w:t xml:space="preserve"> </w:t>
      </w:r>
      <w:r>
        <w:t xml:space="preserve">• As observed by</w:t>
      </w:r>
      <w:r>
        <w:t xml:space="preserve"> </w:t>
      </w:r>
      <w:hyperlink r:id="rId21">
        <w:r>
          <w:rPr>
            <w:rStyle w:val="Hyperlink"/>
          </w:rPr>
          <w:t xml:space="preserve">Sircar [1962] 1957–1958</w:t>
        </w:r>
      </w:hyperlink>
      <w:r>
        <w:t xml:space="preserve">, pp. 87, 89 n. 10, there are two akṣaras in later script (</w:t>
      </w:r>
      <w:r>
        <w:rPr>
          <w:iCs/>
          <w:i/>
        </w:rPr>
        <w:t xml:space="preserve">niya</w:t>
      </w:r>
      <w:r>
        <w:t xml:space="preserve">?) on the adjoining facet after the end of this line. The absence of distinction between the two scripts explains Seshadri Sastri’s reading.</w:t>
      </w:r>
    </w:p>
    <w:p>
      <w:pPr>
        <w:pStyle w:val="BodyText"/>
      </w:pPr>
      <w:r>
        <w:rPr>
          <w:rStyle w:val="ColorGray"/>
        </w:rPr>
        <w:t xml:space="preserve">⟨3⟩</w:t>
      </w:r>
      <w:r>
        <w:t xml:space="preserve"> </w:t>
      </w:r>
      <w:r>
        <w:t xml:space="preserve">-yāyaṇaṁ ⬦</w:t>
      </w:r>
      <w:r>
        <w:t xml:space="preserve"> </w:t>
      </w:r>
      <w:r>
        <w:rPr>
          <w:rStyle w:val="ColorGreen"/>
          <w:iCs/>
          <w:i/>
        </w:rPr>
        <w:t xml:space="preserve">-yāyaṇo</w:t>
      </w:r>
      <w:r>
        <w:t xml:space="preserve"> </w:t>
      </w:r>
      <w:hyperlink r:id="rId20">
        <w:r>
          <w:rPr>
            <w:rStyle w:val="Hyperlink"/>
          </w:rPr>
          <w:t xml:space="preserve">Seshadri Sastri 1955</w:t>
        </w:r>
      </w:hyperlink>
      <w:r>
        <w:t xml:space="preserve">. —</w:t>
      </w:r>
      <w:r>
        <w:t xml:space="preserve"> </w:t>
      </w:r>
      <w:r>
        <w:rPr>
          <w:rStyle w:val="ColorGray"/>
        </w:rPr>
        <w:t xml:space="preserve">⟨3⟩</w:t>
      </w:r>
      <w:r>
        <w:t xml:space="preserve"> </w:t>
      </w:r>
      <w:r>
        <w:t xml:space="preserve">kātūṇa ⬦</w:t>
      </w:r>
      <w:r>
        <w:t xml:space="preserve"> </w:t>
      </w:r>
      <w:r>
        <w:rPr>
          <w:rStyle w:val="ColorGreen"/>
          <w:iCs/>
          <w:i/>
        </w:rPr>
        <w:t xml:space="preserve">kā(ṭhu)ṇa</w:t>
      </w:r>
      <w:r>
        <w:t xml:space="preserve"> </w:t>
      </w:r>
      <w:hyperlink r:id="rId20">
        <w:r>
          <w:rPr>
            <w:rStyle w:val="Hyperlink"/>
          </w:rPr>
          <w:t xml:space="preserve">Seshadri Sastri 1955</w:t>
        </w:r>
      </w:hyperlink>
      <w:r>
        <w:t xml:space="preserve">. —</w:t>
      </w:r>
      <w:r>
        <w:t xml:space="preserve"> </w:t>
      </w:r>
      <w:r>
        <w:rPr>
          <w:rStyle w:val="ColorGray"/>
        </w:rPr>
        <w:t xml:space="preserve">⟨3⟩</w:t>
      </w:r>
      <w:r>
        <w:t xml:space="preserve"> </w:t>
      </w:r>
      <w:r>
        <w:t xml:space="preserve">bhaga(va)[to siri](jīvaś)ivasāmisa ⬦</w:t>
      </w:r>
      <w:r>
        <w:t xml:space="preserve"> </w:t>
      </w:r>
      <w:r>
        <w:rPr>
          <w:rStyle w:val="ColorGreen"/>
          <w:iCs/>
          <w:i/>
        </w:rPr>
        <w:t xml:space="preserve">bhaga(va) …… va sāmi se-</w:t>
      </w:r>
      <w:r>
        <w:t xml:space="preserve"> </w:t>
      </w:r>
      <w:hyperlink r:id="rId20">
        <w:r>
          <w:rPr>
            <w:rStyle w:val="Hyperlink"/>
          </w:rPr>
          <w:t xml:space="preserve">Seshadri Sastri 1955</w:t>
        </w:r>
      </w:hyperlink>
      <w:r>
        <w:t xml:space="preserve">;</w:t>
      </w:r>
      <w:r>
        <w:t xml:space="preserve"> </w:t>
      </w:r>
      <w:r>
        <w:rPr>
          <w:rStyle w:val="ColorGreen"/>
          <w:iCs/>
          <w:i/>
        </w:rPr>
        <w:t xml:space="preserve">bhaga(vato)[siri](jīvaś)ivasāmisa</w:t>
      </w:r>
      <w:r>
        <w:t xml:space="preserve"> </w:t>
      </w:r>
      <w:hyperlink r:id="rId21">
        <w:r>
          <w:rPr>
            <w:rStyle w:val="Hyperlink"/>
          </w:rPr>
          <w:t xml:space="preserve">Sircar [1962] 1957–1958</w:t>
        </w:r>
      </w:hyperlink>
      <w:r>
        <w:t xml:space="preserve">.</w:t>
      </w:r>
    </w:p>
    <w:p>
      <w:pPr>
        <w:pStyle w:val="BodyText"/>
      </w:pPr>
      <w:r>
        <w:rPr>
          <w:rStyle w:val="ColorGray"/>
        </w:rPr>
        <w:t xml:space="preserve">⟨3–4⟩</w:t>
      </w:r>
      <w:r>
        <w:t xml:space="preserve"> </w:t>
      </w:r>
      <w:r>
        <w:t xml:space="preserve">tethikanak(kh)attik(ā)pahārakādi ⬦</w:t>
      </w:r>
      <w:r>
        <w:t xml:space="preserve"> </w:t>
      </w:r>
      <w:r>
        <w:rPr>
          <w:rStyle w:val="ColorGreen"/>
          <w:iCs/>
          <w:i/>
        </w:rPr>
        <w:t xml:space="preserve">nathika kattuna hahara [ka] kati</w:t>
      </w:r>
      <w:r>
        <w:t xml:space="preserve"> </w:t>
      </w:r>
      <w:hyperlink r:id="rId20">
        <w:r>
          <w:rPr>
            <w:rStyle w:val="Hyperlink"/>
          </w:rPr>
          <w:t xml:space="preserve">Seshadri Sastri 1955</w:t>
        </w:r>
      </w:hyperlink>
      <w:r>
        <w:t xml:space="preserve">;</w:t>
      </w:r>
      <w:r>
        <w:t xml:space="preserve"> </w:t>
      </w:r>
      <w:r>
        <w:rPr>
          <w:rStyle w:val="ColorGreen"/>
          <w:iCs/>
          <w:i/>
        </w:rPr>
        <w:t xml:space="preserve">tethik[ā]na kurttakāpahārakādi</w:t>
      </w:r>
      <w:r>
        <w:t xml:space="preserve"> </w:t>
      </w:r>
      <w:hyperlink r:id="rId21">
        <w:r>
          <w:rPr>
            <w:rStyle w:val="Hyperlink"/>
          </w:rPr>
          <w:t xml:space="preserve">Sircar [1962] 1957–1958</w:t>
        </w:r>
      </w:hyperlink>
      <w:r>
        <w:t xml:space="preserve"> </w:t>
      </w:r>
      <w:r>
        <w:t xml:space="preserve">• Sircar suggests to emend</w:t>
      </w:r>
      <w:r>
        <w:t xml:space="preserve"> </w:t>
      </w:r>
      <w:r>
        <w:rPr>
          <w:iCs/>
          <w:i/>
        </w:rPr>
        <w:t xml:space="preserve">-kurttakopahāra-</w:t>
      </w:r>
      <w:r>
        <w:t xml:space="preserve">. Our reading is proposed here partly on the basis of the assumption that the same phrase occurs at the beginning of EIAD</w:t>
      </w:r>
      <w:r>
        <w:t xml:space="preserve"> </w:t>
      </w:r>
      <w:hyperlink r:id="rId24">
        <w:r>
          <w:rPr>
            <w:rStyle w:val="Hyperlink"/>
          </w:rPr>
          <w:t xml:space="preserve">60</w:t>
        </w:r>
      </w:hyperlink>
      <w:r>
        <w:t xml:space="preserve"> </w:t>
      </w:r>
      <w:r>
        <w:t xml:space="preserve">and at the end of EIAD</w:t>
      </w:r>
      <w:r>
        <w:t xml:space="preserve"> </w:t>
      </w:r>
      <w:hyperlink r:id="rId25">
        <w:r>
          <w:rPr>
            <w:rStyle w:val="Hyperlink"/>
          </w:rPr>
          <w:t xml:space="preserve">56</w:t>
        </w:r>
      </w:hyperlink>
      <w:r>
        <w:t xml:space="preserve">.</w:t>
      </w:r>
    </w:p>
    <w:p>
      <w:pPr>
        <w:pStyle w:val="BodyText"/>
      </w:pPr>
      <w:r>
        <w:rPr>
          <w:rStyle w:val="ColorGray"/>
        </w:rPr>
        <w:t xml:space="preserve">⟨4⟩</w:t>
      </w:r>
      <w:r>
        <w:t xml:space="preserve"> </w:t>
      </w:r>
      <w:r>
        <w:t xml:space="preserve">kātaṁ ⬦</w:t>
      </w:r>
      <w:r>
        <w:t xml:space="preserve"> </w:t>
      </w:r>
      <w:r>
        <w:rPr>
          <w:rStyle w:val="ColorGreen"/>
          <w:iCs/>
          <w:i/>
        </w:rPr>
        <w:t xml:space="preserve">kanam</w:t>
      </w:r>
      <w:r>
        <w:t xml:space="preserve"> </w:t>
      </w:r>
      <w:hyperlink r:id="rId20">
        <w:r>
          <w:rPr>
            <w:rStyle w:val="Hyperlink"/>
          </w:rPr>
          <w:t xml:space="preserve">Seshadri Sastri 1955</w:t>
        </w:r>
      </w:hyperlink>
      <w:r>
        <w:t xml:space="preserve">. —</w:t>
      </w:r>
      <w:r>
        <w:t xml:space="preserve"> </w:t>
      </w:r>
      <w:r>
        <w:rPr>
          <w:rStyle w:val="ColorGray"/>
        </w:rPr>
        <w:t xml:space="preserve">⟨4⟩</w:t>
      </w:r>
      <w:r>
        <w:t xml:space="preserve"> </w:t>
      </w:r>
      <w:r>
        <w:t xml:space="preserve">kapa [1×] ⬦</w:t>
      </w:r>
      <w:r>
        <w:t xml:space="preserve"> </w:t>
      </w:r>
      <w:r>
        <w:rPr>
          <w:rStyle w:val="ColorGreen"/>
          <w:iCs/>
          <w:i/>
        </w:rPr>
        <w:t xml:space="preserve">kahana</w:t>
      </w:r>
      <w:r>
        <w:t xml:space="preserve"> </w:t>
      </w:r>
      <w:hyperlink r:id="rId20">
        <w:r>
          <w:rPr>
            <w:rStyle w:val="Hyperlink"/>
          </w:rPr>
          <w:t xml:space="preserve">Seshadri Sastri 1955</w:t>
        </w:r>
      </w:hyperlink>
      <w:r>
        <w:t xml:space="preserve">;</w:t>
      </w:r>
      <w:r>
        <w:t xml:space="preserve"> </w:t>
      </w:r>
      <w:r>
        <w:rPr>
          <w:rStyle w:val="ColorGreen"/>
          <w:iCs/>
          <w:i/>
        </w:rPr>
        <w:t xml:space="preserve">kiha.</w:t>
      </w:r>
      <w:r>
        <w:t xml:space="preserve"> </w:t>
      </w:r>
      <w:hyperlink r:id="rId21">
        <w:r>
          <w:rPr>
            <w:rStyle w:val="Hyperlink"/>
          </w:rPr>
          <w:t xml:space="preserve">Sircar [1962] 1957–1958</w:t>
        </w:r>
      </w:hyperlink>
      <w:r>
        <w:t xml:space="preserve"> </w:t>
      </w:r>
      <w:r>
        <w:t xml:space="preserve">• Given the likely Śaiva character of this inscription, it is tempting to restore a name like</w:t>
      </w:r>
      <w:r>
        <w:t xml:space="preserve"> </w:t>
      </w:r>
      <w:r>
        <w:rPr>
          <w:iCs/>
          <w:i/>
        </w:rPr>
        <w:t xml:space="preserve">kapaddi-</w:t>
      </w:r>
      <w:r>
        <w:t xml:space="preserve"> </w:t>
      </w:r>
      <w:r>
        <w:t xml:space="preserve">(Skt.</w:t>
      </w:r>
      <w:r>
        <w:t xml:space="preserve"> </w:t>
      </w:r>
      <w:r>
        <w:rPr>
          <w:iCs/>
          <w:i/>
        </w:rPr>
        <w:t xml:space="preserve">kapardi-</w:t>
      </w:r>
      <w:r>
        <w:t xml:space="preserve">).</w:t>
      </w:r>
    </w:p>
    <w:p>
      <w:pPr>
        <w:pStyle w:val="BodyText"/>
      </w:pPr>
      <w:r>
        <w:rPr>
          <w:rStyle w:val="ColorGray"/>
        </w:rPr>
        <w:t xml:space="preserve">⟨4–5⟩</w:t>
      </w:r>
      <w:r>
        <w:t xml:space="preserve"> </w:t>
      </w:r>
      <w:r>
        <w:t xml:space="preserve">bhag(g)a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⟨Fragment lost⟩</w:t>
      </w:r>
      <w:r>
        <w:rPr>
          <w:rStyle w:val="ColorGray"/>
        </w:rPr>
        <w:t xml:space="preserve"> </w:t>
      </w:r>
      <w:r>
        <w:t xml:space="preserve">[1×][1+] ⬦</w:t>
      </w:r>
      <w:r>
        <w:t xml:space="preserve"> </w:t>
      </w:r>
      <w:r>
        <w:rPr>
          <w:rStyle w:val="ColorGreen"/>
          <w:iCs/>
          <w:i/>
        </w:rPr>
        <w:t xml:space="preserve">bhaṭṭ(ā) ….</w:t>
      </w:r>
      <w:r>
        <w:t xml:space="preserve"> </w:t>
      </w:r>
      <w:hyperlink r:id="rId21">
        <w:r>
          <w:rPr>
            <w:rStyle w:val="Hyperlink"/>
          </w:rPr>
          <w:t xml:space="preserve">Sircar [1962] 1957–1958</w:t>
        </w:r>
      </w:hyperlink>
      <w:r>
        <w:t xml:space="preserve"> </w:t>
      </w:r>
      <w:r>
        <w:t xml:space="preserve">• We believe that the word to be restored here is</w:t>
      </w:r>
      <w:r>
        <w:t xml:space="preserve"> </w:t>
      </w:r>
      <w:r>
        <w:rPr>
          <w:iCs/>
          <w:i/>
        </w:rPr>
        <w:t xml:space="preserve">bhaggaphullasanthappa</w:t>
      </w:r>
      <w:r>
        <w:t xml:space="preserve"> </w:t>
      </w:r>
      <w:r>
        <w:t xml:space="preserve">(or an orthographic variant thereof); see EIAD</w:t>
      </w:r>
      <w:r>
        <w:t xml:space="preserve"> </w:t>
      </w:r>
      <w:hyperlink r:id="rId25">
        <w:r>
          <w:rPr>
            <w:rStyle w:val="Hyperlink"/>
          </w:rPr>
          <w:t xml:space="preserve">56</w:t>
        </w:r>
      </w:hyperlink>
      <w:r>
        <w:t xml:space="preserve">, l. 7;</w:t>
      </w:r>
      <w:r>
        <w:t xml:space="preserve"> </w:t>
      </w:r>
      <w:hyperlink r:id="rId24">
        <w:r>
          <w:rPr>
            <w:rStyle w:val="Hyperlink"/>
          </w:rPr>
          <w:t xml:space="preserve">60</w:t>
        </w:r>
      </w:hyperlink>
      <w:r>
        <w:t xml:space="preserve">, l. 2.</w:t>
      </w:r>
    </w:p>
    <w:p>
      <w:pPr>
        <w:pStyle w:val="BodyText"/>
      </w:pPr>
      <w:r>
        <w:rPr>
          <w:rStyle w:val="ColorGray"/>
        </w:rPr>
        <w:t xml:space="preserve">⟨5⟩</w:t>
      </w:r>
      <w:r>
        <w:t xml:space="preserve"> </w:t>
      </w:r>
      <w:r>
        <w:t xml:space="preserve">(sa) pāda(m)[ū]le ⬦</w:t>
      </w:r>
      <w:r>
        <w:t xml:space="preserve"> </w:t>
      </w:r>
      <w:r>
        <w:rPr>
          <w:rStyle w:val="ColorGreen"/>
          <w:iCs/>
          <w:i/>
        </w:rPr>
        <w:t xml:space="preserve">… padamule</w:t>
      </w:r>
      <w:r>
        <w:t xml:space="preserve"> </w:t>
      </w:r>
      <w:hyperlink r:id="rId20">
        <w:r>
          <w:rPr>
            <w:rStyle w:val="Hyperlink"/>
          </w:rPr>
          <w:t xml:space="preserve">Seshadri Sastri 1955</w:t>
        </w:r>
      </w:hyperlink>
      <w:r>
        <w:t xml:space="preserve">;</w:t>
      </w:r>
      <w:r>
        <w:t xml:space="preserve"> </w:t>
      </w:r>
      <w:r>
        <w:rPr>
          <w:rStyle w:val="ColorGreen"/>
          <w:iCs/>
          <w:i/>
        </w:rPr>
        <w:t xml:space="preserve">(sa) pāda(mū)le</w:t>
      </w:r>
      <w:r>
        <w:t xml:space="preserve"> </w:t>
      </w:r>
      <w:hyperlink r:id="rId21">
        <w:r>
          <w:rPr>
            <w:rStyle w:val="Hyperlink"/>
          </w:rPr>
          <w:t xml:space="preserve">Sircar [1962] 1957–1958</w:t>
        </w:r>
      </w:hyperlink>
      <w:r>
        <w:t xml:space="preserve">.</w:t>
      </w:r>
    </w:p>
    <w:p>
      <w:pPr>
        <w:pStyle w:val="Heading1"/>
      </w:pPr>
      <w:r>
        <w:t xml:space="preserve">Translation</w:t>
      </w:r>
    </w:p>
    <w:p>
      <w:pPr>
        <w:pStyle w:val="FirstParagraph"/>
      </w:pPr>
      <w:r>
        <w:t xml:space="preserve">Success! By (king) Sīhavamma of the Pallavas, with a view to his own victoriousness and for increasing his ... and power,</w:t>
      </w:r>
      <w:r>
        <w:t xml:space="preserve"> </w:t>
      </w:r>
      <w:r>
        <w:rPr>
          <w:iCs/>
          <w:i/>
        </w:rPr>
        <w:t xml:space="preserve">śānti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svastyayana</w:t>
      </w:r>
      <w:r>
        <w:t xml:space="preserve"> </w:t>
      </w:r>
      <w:r>
        <w:t xml:space="preserve">were carried out and the</w:t>
      </w:r>
      <w:r>
        <w:t xml:space="preserve"> </w:t>
      </w:r>
      <w:r>
        <w:rPr>
          <w:iCs/>
          <w:i/>
        </w:rPr>
        <w:t xml:space="preserve">taithika</w:t>
      </w:r>
      <w:r>
        <w:t xml:space="preserve">,</w:t>
      </w:r>
      <w:r>
        <w:t xml:space="preserve"> </w:t>
      </w:r>
      <w:r>
        <w:rPr>
          <w:iCs/>
          <w:i/>
        </w:rPr>
        <w:t xml:space="preserve">nākṣatrika</w:t>
      </w:r>
      <w:r>
        <w:t xml:space="preserve"> </w:t>
      </w:r>
      <w:r>
        <w:t xml:space="preserve">as well as as</w:t>
      </w:r>
      <w:r>
        <w:t xml:space="preserve"> </w:t>
      </w:r>
      <w:r>
        <w:rPr>
          <w:iCs/>
          <w:i/>
        </w:rPr>
        <w:t xml:space="preserve">prāharika</w:t>
      </w:r>
      <w:r>
        <w:t xml:space="preserve"> </w:t>
      </w:r>
      <w:r>
        <w:t xml:space="preserve">and so forth were performed for Lord Siri-Jīvaśivasāmi ... (the repair of) what was damaged (and dilapidated) of the temple of Kapa ... at the base of ...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First published by Seshadri Sastri in 1944 in a Telugu-language publication and subsequently in</w:t>
      </w:r>
      <w:r>
        <w:t xml:space="preserve"> </w:t>
      </w:r>
      <w:hyperlink r:id="rId20">
        <w:r>
          <w:rPr>
            <w:rStyle w:val="Hyperlink"/>
          </w:rPr>
          <w:t xml:space="preserve">Seshadri Sastri 1955</w:t>
        </w:r>
      </w:hyperlink>
      <w:r>
        <w:t xml:space="preserve">; edited again in</w:t>
      </w:r>
      <w:r>
        <w:t xml:space="preserve"> </w:t>
      </w:r>
      <w:hyperlink r:id="rId21">
        <w:r>
          <w:rPr>
            <w:rStyle w:val="Hyperlink"/>
          </w:rPr>
          <w:t xml:space="preserve">Sircar [1962] 1957–1958</w:t>
        </w:r>
      </w:hyperlink>
      <w:r>
        <w:t xml:space="preserve">, pp. 82, 87–90 and</w:t>
      </w:r>
      <w:r>
        <w:t xml:space="preserve"> </w:t>
      </w:r>
      <w:hyperlink r:id="rId26">
        <w:r>
          <w:rPr>
            <w:rStyle w:val="Hyperlink"/>
          </w:rPr>
          <w:t xml:space="preserve">Sircar 1965</w:t>
        </w:r>
      </w:hyperlink>
      <w:r>
        <w:t xml:space="preserve">. Re-edited here from published documentation.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ARIE</w:t>
      </w:r>
    </w:p>
    <w:p>
      <w:pPr>
        <w:pStyle w:val="BodyText"/>
      </w:pPr>
      <w:r>
        <w:t xml:space="preserve">Rama Rao, M. 1955.</w:t>
      </w:r>
      <w:r>
        <w:t xml:space="preserve"> </w:t>
      </w:r>
      <w:r>
        <w:rPr>
          <w:iCs/>
          <w:i/>
        </w:rPr>
        <w:t xml:space="preserve">Nāgārjunakoṇḍa Souvenir</w:t>
      </w:r>
      <w:r>
        <w:t xml:space="preserve">. Guntur: B. Vandanam &amp; P. Amaresvara Rao on behalf of the Nehru reception committee. Pages 51–2.</w:t>
      </w:r>
    </w:p>
    <w:p>
      <w:pPr>
        <w:pStyle w:val="BodyText"/>
      </w:pPr>
      <w:r>
        <w:t xml:space="preserve">Ramesan, N. 1962.</w:t>
      </w:r>
      <w:r>
        <w:t xml:space="preserve"> </w:t>
      </w:r>
      <w:r>
        <w:rPr>
          <w:iCs/>
          <w:i/>
        </w:rPr>
        <w:t xml:space="preserve">Copper plate inscriptions of Andhra Pradesh Government Museum, Hyderabad (vol. I)</w:t>
      </w:r>
      <w:r>
        <w:t xml:space="preserve">. Archaeological Series 6. Hyderabad: Govt. of Andhra Pradesh.</w:t>
      </w:r>
      <w:r>
        <w:t xml:space="preserve"> </w:t>
      </w:r>
      <w:hyperlink r:id="rId27">
        <w:r>
          <w:rPr>
            <w:rStyle w:val="Hyperlink"/>
          </w:rPr>
          <w:t xml:space="preserve">[URL]</w:t>
        </w:r>
      </w:hyperlink>
      <w:r>
        <w:t xml:space="preserve">. Page 216.</w:t>
      </w:r>
    </w:p>
    <w:p>
      <w:pPr>
        <w:pStyle w:val="BodyText"/>
      </w:pPr>
      <w:r>
        <w:t xml:space="preserve">Francis, Emmanuel. 2013.</w:t>
      </w:r>
      <w:r>
        <w:t xml:space="preserve"> </w:t>
      </w:r>
      <w:r>
        <w:rPr>
          <w:iCs/>
          <w:i/>
        </w:rPr>
        <w:t xml:space="preserve">Le discours royal dans l’Inde du Sud ancienne : inscriptions et monuments Pallava, IV</w:t>
      </w:r>
      <w:r>
        <w:rPr>
          <w:vertAlign w:val="superscript"/>
          <w:iCs/>
          <w:i/>
        </w:rPr>
        <w:t xml:space="preserve">ème</w:t>
      </w:r>
      <w:r>
        <w:rPr>
          <w:iCs/>
          <w:i/>
        </w:rPr>
        <w:t xml:space="preserve">-IX</w:t>
      </w:r>
      <w:r>
        <w:rPr>
          <w:vertAlign w:val="superscript"/>
          <w:iCs/>
          <w:i/>
        </w:rPr>
        <w:t xml:space="preserve">ème</w:t>
      </w:r>
      <w:r>
        <w:rPr>
          <w:iCs/>
          <w:i/>
        </w:rPr>
        <w:t xml:space="preserve"> </w:t>
      </w:r>
      <w:r>
        <w:rPr>
          <w:iCs/>
          <w:i/>
        </w:rPr>
        <w:t xml:space="preserve">siècles. Tome I : Introduction et sources</w:t>
      </w:r>
      <w:r>
        <w:t xml:space="preserve">. Publications de l’Institut orientaliste de Louvain 64. Louvain-la-Neuve; Paris: Université catholique de Louvain, Institut orientaliste; Peeters. Page 258 (IR 1).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variable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doNotTrackMove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zoom w:percent="100"/>
  <w:embedSystemFonts/>
  <w:defaultTabStop w:val="720"/>
  <w:autoHyphenation w:val="true"/>
  <w:hyphenationZone w:val="0"/>
  <w:compat>
    <w:compatSetting w:name="compatibilityMode" w:uri="http://schemas.microsoft.com/office/word" w:val="12"/>
  </w:compat>
  <w:themeFontLang w:bidi="" w:eastAsia="" w:val="en-US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808080"/>
    </w:rPr>
  </w:style>
  <w:style w:styleId="ColorGreen" w:type="character">
    <w:name w:val="ColorGreen"/>
    <w:basedOn w:val="DefaultParagraphFont"/>
    <w:qFormat/>
    <w:rPr>
      <w:color w:val="00A933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FF0000"/>
    </w:rPr>
  </w:style>
  <w:style w:styleId="ColorMagenta" w:type="character">
    <w:name w:val="ColorMagenta"/>
    <w:basedOn w:val="ColorBrown"/>
    <w:qFormat/>
    <w:rPr>
      <w:color w:val="A7074B"/>
    </w:rPr>
  </w:style>
  <w:style w:styleId="ColorBlue" w:type="character">
    <w:name w:val="ColorBlue"/>
    <w:basedOn w:val="ColorGray"/>
    <w:qFormat/>
    <w:rPr>
      <w:color w:val="3465A4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/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/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/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s://archive.org/details/aclcpl00000758a1474" TargetMode="External" /><Relationship Type="http://schemas.openxmlformats.org/officeDocument/2006/relationships/hyperlink" Id="rId20" Target="https://dharmalekha.info/bibliography/entry/SeshadriSastri1955_01" TargetMode="External" /><Relationship Type="http://schemas.openxmlformats.org/officeDocument/2006/relationships/hyperlink" Id="rId21" Target="https://dharmalekha.info/bibliography/entry/Sircar1957-1958_03" TargetMode="External" /><Relationship Type="http://schemas.openxmlformats.org/officeDocument/2006/relationships/hyperlink" Id="rId26" Target="https://dharmalekha.info/bibliography/entry/Sircar1965_02" TargetMode="External" /><Relationship Type="http://schemas.openxmlformats.org/officeDocument/2006/relationships/hyperlink" Id="rId25" Target="https://dharmalekha.info/texts/INSEIAD00056" TargetMode="External" /><Relationship Type="http://schemas.openxmlformats.org/officeDocument/2006/relationships/hyperlink" Id="rId24" Target="https://dharmalekha.info/texts/INSEIAD00060" TargetMode="External" /><Relationship Type="http://schemas.openxmlformats.org/officeDocument/2006/relationships/hyperlink" Id="rId22" Target="https://dharmalekha.info/texts/INSEIAD00140" TargetMode="External" /><Relationship Type="http://schemas.openxmlformats.org/officeDocument/2006/relationships/hyperlink" Id="rId23" Target="https://dharmalekha.info/texts/INSEIAD0016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s://archive.org/details/aclcpl00000758a1474" TargetMode="External" /><Relationship Type="http://schemas.openxmlformats.org/officeDocument/2006/relationships/hyperlink" Id="rId20" Target="https://dharmalekha.info/bibliography/entry/SeshadriSastri1955_01" TargetMode="External" /><Relationship Type="http://schemas.openxmlformats.org/officeDocument/2006/relationships/hyperlink" Id="rId21" Target="https://dharmalekha.info/bibliography/entry/Sircar1957-1958_03" TargetMode="External" /><Relationship Type="http://schemas.openxmlformats.org/officeDocument/2006/relationships/hyperlink" Id="rId26" Target="https://dharmalekha.info/bibliography/entry/Sircar1965_02" TargetMode="External" /><Relationship Type="http://schemas.openxmlformats.org/officeDocument/2006/relationships/hyperlink" Id="rId25" Target="https://dharmalekha.info/texts/INSEIAD00056" TargetMode="External" /><Relationship Type="http://schemas.openxmlformats.org/officeDocument/2006/relationships/hyperlink" Id="rId24" Target="https://dharmalekha.info/texts/INSEIAD00060" TargetMode="External" /><Relationship Type="http://schemas.openxmlformats.org/officeDocument/2006/relationships/hyperlink" Id="rId22" Target="https://dharmalekha.info/texts/INSEIAD00140" TargetMode="External" /><Relationship Type="http://schemas.openxmlformats.org/officeDocument/2006/relationships/hyperlink" Id="rId23" Target="https://dharmalekha.info/texts/INSEIAD00160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Application>LibreOffice/26.2.6.3$Linux_X86_64 LibreOffice_project/620$Build-3</Application>
  <AppVersion>15.0000</AppVersion>
  <Pages>1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EIAD 139. Octagonal pillar from Manchikallu — reign of Sīhavamma</dc:title>
  <dc:creator>Arlo Griffiths and Vincent Tournier</dc:creator>
  <cp:keywords/>
  <dcterms:created xsi:type="dcterms:W3CDTF">2026-09-30T03:15:56Z</dcterms:created>
  <dcterms:modified xsi:type="dcterms:W3CDTF">2026-09-30T03:15:56Z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