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EIAD 69. Maṇḍapa pillar from site 12 at Nagarjunakonda</w:t>
      </w:r>
    </w:p>
    <w:p>
      <w:pPr>
        <w:pStyle w:val="Author"/>
      </w:pPr>
      <w:r>
        <w:t xml:space="preserve">Arlo Griffiths and Vincent Tournier</w:t>
      </w:r>
    </w:p>
    <w:p>
      <w:pPr>
        <w:pStyle w:val="FirstParagraph"/>
      </w:pPr>
      <w:r>
        <w:t xml:space="preserve">Authors of digital edition: Arlo Griffiths, Vincent Tournier</w:t>
      </w:r>
    </w:p>
    <w:p>
      <w:pPr>
        <w:pStyle w:val="BodyText"/>
      </w:pPr>
      <w:r>
        <w:t xml:space="preserve">Identifier: DHARMA_INSEIAD00069</w:t>
      </w:r>
    </w:p>
    <w:p>
      <w:pPr>
        <w:pStyle w:val="BodyText"/>
      </w:pPr>
      <w:r>
        <w:t xml:space="preserve">Repository: Early Āndhradeśa (tfb-eiad-epigraphy)</w:t>
      </w:r>
    </w:p>
    <w:p>
      <w:pPr>
        <w:pStyle w:val="BodyText"/>
      </w:pPr>
      <w:r>
        <w:t xml:space="preserve">File path: texts/xml/DHARMA_INSEIAD00069.xml</w:t>
      </w:r>
    </w:p>
    <w:p>
      <w:pPr>
        <w:pStyle w:val="BodyText"/>
      </w:pPr>
      <w:r>
        <w:t xml:space="preserve">Language: Middle Indo-Aryan [Script (unspecified)]</w:t>
      </w:r>
    </w:p>
    <w:p>
      <w:pPr>
        <w:pStyle w:val="BodyText"/>
      </w:pPr>
      <w:r>
        <w:t xml:space="preserve">Commit: 2026-09-22 13:22 (151ff65), last modified 2026-09-21 18:13 (3db1cff)</w:t>
      </w:r>
    </w:p>
    <w:p>
      <w:r>
        <w:pict>
          <v:rect style="width:0;height:1.5pt" o:hralign="center" o:hrstd="t" o:hr="t"/>
        </w:pict>
      </w:r>
    </w:p>
    <w:p>
      <w:pPr>
        <w:pStyle w:val="Heading1"/>
      </w:pPr>
      <w:r>
        <w:t xml:space="preserve">Edition</w:t>
      </w:r>
    </w:p>
    <w:p>
      <w:pPr>
        <w:pStyle w:val="FirstParagraph"/>
      </w:pPr>
      <w:r>
        <w:rPr>
          <w:rStyle w:val="ColorGray"/>
        </w:rPr>
        <w:t xml:space="preserve"> </w:t>
      </w:r>
      <w:r>
        <w:rPr>
          <w:rStyle w:val="ColorGray"/>
        </w:rPr>
        <w:t xml:space="preserve">⟨1⟩</w:t>
      </w:r>
      <w:r>
        <w:rPr>
          <w:rStyle w:val="ColorGray"/>
        </w:rPr>
        <w:t xml:space="preserve"> </w:t>
      </w:r>
      <w:r>
        <w:t xml:space="preserve">[3+]</w:t>
      </w:r>
      <w:r>
        <w:rPr>
          <w:rStyle w:val="ColorGray"/>
        </w:rPr>
        <w:t xml:space="preserve"> </w:t>
      </w:r>
      <w:r>
        <w:rPr>
          <w:rStyle w:val="ColorGray"/>
        </w:rPr>
        <w:t xml:space="preserve">⟨Fragment left⟩</w:t>
      </w:r>
      <w:r>
        <w:rPr>
          <w:rStyle w:val="ColorGray"/>
        </w:rPr>
        <w:t xml:space="preserve"> </w:t>
      </w:r>
      <w:r>
        <w:t xml:space="preserve">[1×][2+](sa)</w:t>
      </w:r>
      <w:r>
        <w:rPr>
          <w:rStyle w:val="ColorGray"/>
        </w:rPr>
        <w:t xml:space="preserve"> </w:t>
      </w:r>
      <w:r>
        <w:rPr>
          <w:rStyle w:val="ColorGray"/>
        </w:rPr>
        <w:t xml:space="preserve">⟨Fragment right⟩</w:t>
      </w:r>
      <w:r>
        <w:rPr>
          <w:rStyle w:val="ColorGray"/>
        </w:rPr>
        <w:t xml:space="preserve"> </w:t>
      </w:r>
      <w:r>
        <w:t xml:space="preserve">[3+]</w:t>
      </w:r>
      <w:r>
        <w:rPr>
          <w:rStyle w:val="ColorGray"/>
        </w:rPr>
        <w:t xml:space="preserve"> </w:t>
      </w:r>
      <w:r>
        <w:rPr>
          <w:rStyle w:val="ColorGray"/>
        </w:rPr>
        <w:t xml:space="preserve">⟨2⟩</w:t>
      </w:r>
      <w:r>
        <w:rPr>
          <w:rStyle w:val="ColorGray"/>
        </w:rPr>
        <w:t xml:space="preserve"> </w:t>
      </w:r>
      <w:r>
        <w:t xml:space="preserve">[2+][da]</w:t>
      </w:r>
      <w:r>
        <w:rPr>
          <w:rStyle w:val="ColorGray"/>
        </w:rPr>
        <w:t xml:space="preserve"> </w:t>
      </w:r>
      <w:r>
        <w:rPr>
          <w:rStyle w:val="ColorGray"/>
        </w:rPr>
        <w:t xml:space="preserve">⟨Fragment left⟩</w:t>
      </w:r>
      <w:r>
        <w:rPr>
          <w:rStyle w:val="ColorGray"/>
        </w:rPr>
        <w:t xml:space="preserve"> </w:t>
      </w:r>
      <w:r>
        <w:t xml:space="preserve">tasa saṁvachara(ṁ)</w:t>
      </w:r>
      <w:r>
        <w:rPr>
          <w:rStyle w:val="ColorGray"/>
        </w:rPr>
        <w:t xml:space="preserve"> </w:t>
      </w:r>
      <w:r>
        <w:rPr>
          <w:rStyle w:val="ColorGray"/>
        </w:rPr>
        <w:t xml:space="preserve">⟨Fragment right⟩</w:t>
      </w:r>
      <w:r>
        <w:rPr>
          <w:rStyle w:val="ColorGray"/>
        </w:rPr>
        <w:t xml:space="preserve"> </w:t>
      </w:r>
      <w:r>
        <w:t xml:space="preserve">[3+]</w:t>
      </w:r>
      <w:r>
        <w:rPr>
          <w:rStyle w:val="ColorGray"/>
        </w:rPr>
        <w:t xml:space="preserve"> </w:t>
      </w:r>
      <w:r>
        <w:rPr>
          <w:rStyle w:val="ColorGray"/>
        </w:rPr>
        <w:t xml:space="preserve">⟨3⟩</w:t>
      </w:r>
      <w:r>
        <w:rPr>
          <w:rStyle w:val="ColorGray"/>
        </w:rPr>
        <w:t xml:space="preserve"> </w:t>
      </w:r>
      <w:r>
        <w:t xml:space="preserve">gīmhapakhaṁ bitiyaṁ divasaṁ paḍhamaṁ 1(s)[i]</w:t>
      </w:r>
      <w:r>
        <w:rPr>
          <w:rStyle w:val="ColorGray"/>
        </w:rPr>
        <w:t xml:space="preserve">⟨4⟩</w:t>
      </w:r>
      <w:r>
        <w:t xml:space="preserve">ripavate vijayapuriya puvadisābhā</w:t>
      </w:r>
      <w:r>
        <w:rPr>
          <w:rStyle w:val="ColorGray"/>
        </w:rPr>
        <w:t xml:space="preserve">⟨5⟩</w:t>
      </w:r>
      <w:r>
        <w:t xml:space="preserve">ge vihāre cu(la)dhaṁmagiriyaṁ Acaṁtarājā</w:t>
      </w:r>
      <w:r>
        <w:rPr>
          <w:rStyle w:val="ColorGray"/>
        </w:rPr>
        <w:t xml:space="preserve">⟨6⟩</w:t>
      </w:r>
      <w:r>
        <w:t xml:space="preserve">cariyānaṁ sakasamayaparasamaya(su)-</w:t>
      </w:r>
    </w:p>
    <w:p>
      <w:pPr>
        <w:pStyle w:val="Heading1"/>
      </w:pPr>
      <w:r>
        <w:t xml:space="preserve">Apparatus</w:t>
      </w:r>
    </w:p>
    <w:p>
      <w:pPr>
        <w:pStyle w:val="FirstParagraph"/>
      </w:pPr>
      <w:r>
        <w:rPr>
          <w:rStyle w:val="ColorGray"/>
        </w:rPr>
        <w:t xml:space="preserve">⟨1⟩</w:t>
      </w:r>
      <w:r>
        <w:t xml:space="preserve"> </w:t>
      </w:r>
      <w:r>
        <w:t xml:space="preserve">[2+][1×][2+](sa) ⬦</w:t>
      </w:r>
      <w:r>
        <w:t xml:space="preserve"> </w:t>
      </w:r>
      <w:r>
        <w:rPr>
          <w:rStyle w:val="ColorGreen"/>
          <w:i/>
          <w:iCs/>
        </w:rPr>
        <w:t xml:space="preserve">….</w:t>
      </w:r>
      <w:r>
        <w:t xml:space="preserve"> </w:t>
      </w:r>
      <w:hyperlink r:id="rId9">
        <w:r>
          <w:rPr>
            <w:rStyle w:val="Hyperlink"/>
          </w:rPr>
          <w:t xml:space="preserve">Sircar [1963] 1961–1962</w:t>
        </w:r>
      </w:hyperlink>
      <w:r>
        <w:t xml:space="preserve">.</w:t>
      </w:r>
    </w:p>
    <w:p>
      <w:pPr>
        <w:pStyle w:val="BodyText"/>
      </w:pPr>
      <w:r>
        <w:rPr>
          <w:rStyle w:val="ColorGray"/>
        </w:rPr>
        <w:t xml:space="preserve">⟨3⟩</w:t>
      </w:r>
      <w:r>
        <w:t xml:space="preserve"> </w:t>
      </w:r>
      <w:r>
        <w:t xml:space="preserve">gīmhapakhaṁ ⬦</w:t>
      </w:r>
      <w:r>
        <w:t xml:space="preserve"> </w:t>
      </w:r>
      <w:r>
        <w:rPr>
          <w:rStyle w:val="ColorGreen"/>
          <w:i/>
          <w:iCs/>
        </w:rPr>
        <w:t xml:space="preserve">gimhapakhaṁ</w:t>
      </w:r>
      <w:r>
        <w:t xml:space="preserve"> </w:t>
      </w:r>
      <w:hyperlink r:id="rId9">
        <w:r>
          <w:rPr>
            <w:rStyle w:val="Hyperlink"/>
          </w:rPr>
          <w:t xml:space="preserve">Sircar [1963] 1961–1962</w:t>
        </w:r>
      </w:hyperlink>
      <w:r>
        <w:t xml:space="preserve">.</w:t>
      </w:r>
    </w:p>
    <w:p>
      <w:pPr>
        <w:pStyle w:val="BodyText"/>
      </w:pPr>
      <w:r>
        <w:rPr>
          <w:rStyle w:val="ColorGray"/>
        </w:rPr>
        <w:t xml:space="preserve">⟨3-4⟩</w:t>
      </w:r>
      <w:r>
        <w:t xml:space="preserve"> </w:t>
      </w:r>
      <w:r>
        <w:t xml:space="preserve">(s)[i]ripavate ⬦</w:t>
      </w:r>
      <w:r>
        <w:t xml:space="preserve"> </w:t>
      </w:r>
      <w:r>
        <w:rPr>
          <w:rStyle w:val="ColorGreen"/>
          <w:i/>
          <w:iCs/>
        </w:rPr>
        <w:t xml:space="preserve">(si)ripavate</w:t>
      </w:r>
      <w:r>
        <w:t xml:space="preserve"> </w:t>
      </w:r>
      <w:hyperlink r:id="rId9">
        <w:r>
          <w:rPr>
            <w:rStyle w:val="Hyperlink"/>
          </w:rPr>
          <w:t xml:space="preserve">Sircar [1963] 1961–1962</w:t>
        </w:r>
      </w:hyperlink>
      <w:r>
        <w:t xml:space="preserve">.</w:t>
      </w:r>
    </w:p>
    <w:p>
      <w:pPr>
        <w:pStyle w:val="BodyText"/>
      </w:pPr>
      <w:r>
        <w:rPr>
          <w:rStyle w:val="ColorGray"/>
        </w:rPr>
        <w:t xml:space="preserve">⟨6⟩</w:t>
      </w:r>
      <w:r>
        <w:t xml:space="preserve"> </w:t>
      </w:r>
      <w:r>
        <w:t xml:space="preserve">sakasamayaparasamaya(su)- ⬦</w:t>
      </w:r>
      <w:r>
        <w:t xml:space="preserve"> </w:t>
      </w:r>
      <w:r>
        <w:rPr>
          <w:rStyle w:val="ColorGreen"/>
          <w:i/>
          <w:iCs/>
        </w:rPr>
        <w:t xml:space="preserve">sakasamayaparasamayasa</w:t>
      </w:r>
      <w:r>
        <w:t xml:space="preserve"> </w:t>
      </w:r>
      <w:hyperlink r:id="rId9">
        <w:r>
          <w:rPr>
            <w:rStyle w:val="Hyperlink"/>
          </w:rPr>
          <w:t xml:space="preserve">Sircar [1963] 1961–1962</w:t>
        </w:r>
      </w:hyperlink>
      <w:r>
        <w:t xml:space="preserve">.</w:t>
      </w:r>
    </w:p>
    <w:p>
      <w:pPr>
        <w:pStyle w:val="Heading1"/>
      </w:pPr>
      <w:r>
        <w:t xml:space="preserve">Translation</w:t>
      </w:r>
    </w:p>
    <w:p>
      <w:pPr>
        <w:pStyle w:val="FirstParagraph"/>
      </w:pPr>
      <w:r>
        <w:t xml:space="preserve">In year ? of ...data ..., in the second fortnight of summer, on the first — 1st — day. In Siripavvata (Śrīparvata), in the monastery on the Culadhamma hill in the eastern part of Vijayapurī, to the supreme teachers of kings, (who distinguish?) well (between?) their own standpoint (</w:t>
      </w:r>
      <w:r>
        <w:rPr>
          <w:i/>
          <w:iCs/>
        </w:rPr>
        <w:t xml:space="preserve">samaya</w:t>
      </w:r>
      <w:r>
        <w:t xml:space="preserve">) and the standpoint of others …</w:t>
      </w:r>
    </w:p>
    <w:p>
      <w:pPr>
        <w:pStyle w:val="Heading1"/>
      </w:pPr>
      <w:r>
        <w:t xml:space="preserve">Commentary</w:t>
      </w:r>
    </w:p>
    <w:p>
      <w:pPr>
        <w:pStyle w:val="FirstParagraph"/>
      </w:pPr>
      <w:r>
        <w:t xml:space="preserve">The inscription abruptly ends at the end of l. 6 and the other two sides of the pillar (the fourth side is hollowed and stood against a wall) do not contain any inscribed text.</w:t>
      </w:r>
    </w:p>
    <w:p>
      <w:pPr>
        <w:pStyle w:val="BodyText"/>
      </w:pPr>
      <w:r>
        <w:rPr>
          <w:rStyle w:val="ColorGray"/>
        </w:rPr>
        <w:t xml:space="preserve">⟨5⟩</w:t>
      </w:r>
      <w:r>
        <w:t xml:space="preserve"> </w:t>
      </w:r>
      <w:r>
        <w:t xml:space="preserve">Acaṁtarājā-</w:t>
      </w:r>
      <w:r>
        <w:rPr>
          <w:rStyle w:val="FootnoteReference"/>
        </w:rPr>
        <w:footnoteReference w:id="10"/>
      </w:r>
    </w:p>
    <w:p>
      <w:pPr>
        <w:pStyle w:val="BodyText"/>
      </w:pPr>
      <w:r>
        <w:rPr>
          <w:rStyle w:val="ColorGray"/>
        </w:rPr>
        <w:t xml:space="preserve">⟨6⟩</w:t>
      </w:r>
      <w:r>
        <w:t xml:space="preserve"> </w:t>
      </w:r>
      <w:r>
        <w:t xml:space="preserve">sakasamayaparasamaya-</w:t>
      </w:r>
      <w:r>
        <w:rPr>
          <w:rStyle w:val="FootnoteReference"/>
        </w:rPr>
        <w:footnoteReference w:id="12"/>
      </w:r>
    </w:p>
    <w:p>
      <w:pPr>
        <w:pStyle w:val="Heading1"/>
      </w:pPr>
      <w:r>
        <w:t xml:space="preserve">Bibliography</w:t>
      </w:r>
    </w:p>
    <w:p>
      <w:pPr>
        <w:pStyle w:val="FirstParagraph"/>
      </w:pPr>
      <w:r>
        <w:t xml:space="preserve">First edited by</w:t>
      </w:r>
      <w:r>
        <w:t xml:space="preserve"> </w:t>
      </w:r>
      <w:hyperlink r:id="rId9">
        <w:r>
          <w:rPr>
            <w:rStyle w:val="Hyperlink"/>
          </w:rPr>
          <w:t xml:space="preserve">Sircar [1963] 1961–1962</w:t>
        </w:r>
      </w:hyperlink>
      <w:r>
        <w:t xml:space="preserve">, pp. 211–2 (IV). Re-edited here from the available documentation and after autopsy of the stone.</w:t>
      </w:r>
    </w:p>
    <w:p>
      <w:pPr>
        <w:pStyle w:val="Heading2"/>
      </w:pPr>
      <w:r>
        <w:t xml:space="preserve">Secondary</w:t>
      </w:r>
    </w:p>
    <w:p>
      <w:pPr>
        <w:pStyle w:val="FirstParagraph"/>
      </w:pPr>
      <w:r>
        <w:t xml:space="preserve">ARIE</w:t>
      </w:r>
    </w:p>
    <w:p>
      <w:pPr>
        <w:pStyle w:val="BodyText"/>
      </w:pPr>
      <w:r>
        <w:t xml:space="preserve">No name. N.d.</w:t>
      </w:r>
      <w:r>
        <w:t xml:space="preserve"> </w:t>
      </w:r>
      <w:r>
        <w:rPr>
          <w:i/>
          <w:iCs/>
        </w:rPr>
        <w:t xml:space="preserve">Indian Archaeology: a review</w:t>
      </w:r>
      <w:r>
        <w:t xml:space="preserve">. New Delhi: Archaeological Survey of India. Pages 1954–55: 22.</w:t>
      </w:r>
    </w:p>
    <w:p>
      <w:pPr>
        <w:pStyle w:val="BodyText"/>
      </w:pPr>
      <w:r>
        <w:t xml:space="preserve">Sircar, Dines Chandra. 1955. “Fragmentary inscriptions from Nāgārjunakoṇḍa.” In:</w:t>
      </w:r>
      <w:r>
        <w:t xml:space="preserve"> </w:t>
      </w:r>
      <w:r>
        <w:rPr>
          <w:i/>
          <w:iCs/>
        </w:rPr>
        <w:t xml:space="preserve">Nāgārjunakoṇḍa Souvenir</w:t>
      </w:r>
      <w:r>
        <w:t xml:space="preserve">. Edited by M. Rama Rao. Guntur: B. Vandanam &amp; P. Amaresvara Rao on behalf of the Nehru reception committee, pp. 41–45. Pages 45–5.</w:t>
      </w:r>
    </w:p>
    <w:p>
      <w:pPr>
        <w:pStyle w:val="BodyText"/>
      </w:pPr>
      <w:r>
        <w:t xml:space="preserve">Srinivasan, P. R. &amp; S. Sankaranarayanan. 1979.</w:t>
      </w:r>
      <w:r>
        <w:t xml:space="preserve"> </w:t>
      </w:r>
      <w:r>
        <w:rPr>
          <w:i/>
          <w:iCs/>
        </w:rPr>
        <w:t xml:space="preserve">Inscriptions of the Ikshvāku period</w:t>
      </w:r>
      <w:r>
        <w:t xml:space="preserve">. Epigraphical Series 14. Hyderabad: Govt. of Andhra Pradesh. Page no. 25.</w:t>
      </w:r>
    </w:p>
    <w:p>
      <w:pPr>
        <w:pStyle w:val="BodyText"/>
      </w:pPr>
      <w:r>
        <w:t xml:space="preserve">Raghunath, K. 2001.</w:t>
      </w:r>
      <w:r>
        <w:t xml:space="preserve"> </w:t>
      </w:r>
      <w:r>
        <w:rPr>
          <w:i/>
          <w:iCs/>
        </w:rPr>
        <w:t xml:space="preserve">The Ikṣvākus of Vijayapuri: A study of the Nagarjunakonda inscriptions</w:t>
      </w:r>
      <w:r>
        <w:t xml:space="preserve">. Delhi: Eastern Book Linkers. Pages 168–9 (51).</w:t>
      </w:r>
    </w:p>
    <w:p>
      <w:pPr>
        <w:pStyle w:val="BodyText"/>
      </w:pPr>
      <w:r>
        <w:t xml:space="preserve">Soundara Rajan, K. V. 2006.</w:t>
      </w:r>
      <w:r>
        <w:t xml:space="preserve"> </w:t>
      </w:r>
      <w:r>
        <w:rPr>
          <w:i/>
          <w:iCs/>
        </w:rPr>
        <w:t xml:space="preserve">Nagarjunakonda (1954–60), volume II: The historical period</w:t>
      </w:r>
      <w:r>
        <w:t xml:space="preserve">. Memoirs of the archaeological survey of India 75. New Delhi: Archaeological Survey of India. Page 172.</w:t>
      </w:r>
    </w:p>
    <w:p>
      <w:pPr>
        <w:pStyle w:val="BodyText"/>
      </w:pPr>
      <w:r>
        <w:t xml:space="preserve">Tournier, Vincent. 2018. “A tide of merit: Royal donors, Tāmraparṇīya monks, and the Buddha’s awakening in 5th–6th-century Āndhradeśa.” IIJ 61 (1), pp. 20–96. DOI:</w:t>
      </w:r>
      <w:r>
        <w:t xml:space="preserve"> </w:t>
      </w:r>
      <w:hyperlink r:id="rId14">
        <w:r>
          <w:rPr>
            <w:rStyle w:val="Hyperlink"/>
          </w:rPr>
          <w:t xml:space="preserve">10.1163/15728536-06101003</w:t>
        </w:r>
      </w:hyperlink>
      <w:r>
        <w:t xml:space="preserve">.</w:t>
      </w:r>
      <w:r>
        <w:t xml:space="preserve"> </w:t>
      </w:r>
      <w:hyperlink r:id="rId15">
        <w:r>
          <w:rPr>
            <w:rStyle w:val="Hyperlink"/>
          </w:rPr>
          <w:t xml:space="preserve">[URL]</w:t>
        </w:r>
      </w:hyperlink>
      <w:r>
        <w:t xml:space="preserve">. Page 59.</w:t>
      </w:r>
    </w:p>
    <w:sectPr>
      <w:footnotePr>
        <w:numFmt w:val="decimal"/>
        <w:numRestart w:val="eachSect"/>
      </w:footnotePr>
      <w:type w:val="nextPage"/>
      <w:pgSz w:h="15840" w:w="12240"/>
      <w:pgMar w:bottom="1440" w:footer="0" w:gutter="0" w:header="0" w:left="1440" w:right="1440" w:top="1440"/>
      <w:pgNumType w:fmt="decimal"/>
      <w:formProt w:val="false"/>
      <w:textDirection w:val="lrTb"/>
      <w:docGrid w:charSpace="0" w:linePitch="100" w:type="default"/>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Aptos">
    <w:charset w:val="01"/>
    <w:family w:val="auto"/>
    <w:pitch w:val="default"/>
  </w:font>
  <w:font w:name="Gentium">
    <w:charset w:val="01"/>
    <w:family w:val="auto"/>
    <w:pitch w:val="default"/>
  </w:font>
  <w:font w:name="Aptos Display">
    <w:charset w:val="01"/>
    <w:family w:val="auto"/>
    <w:pitch w:val="default"/>
  </w:font>
  <w:font w:name="Consolas">
    <w:charset w:val="01"/>
    <w:family w:val="auto"/>
    <w:pitch w:val="default"/>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 w:id="10">
    <w:p>
      <w:pPr>
        <w:pStyle w:val="FootnoteText"/>
      </w:pPr>
      <w:r>
        <w:rPr>
          <w:rStyle w:val="FootnoteReference"/>
        </w:rPr>
        <w:footnoteRef/>
      </w:r>
      <w:r>
        <w:t xml:space="preserve"> </w:t>
      </w:r>
      <w:r>
        <w:t xml:space="preserve">See our note on this word under EIAD</w:t>
      </w:r>
      <w:r>
        <w:t xml:space="preserve"> </w:t>
      </w:r>
      <w:hyperlink r:id="rId11">
        <w:r>
          <w:rPr>
            <w:rStyle w:val="Hyperlink"/>
          </w:rPr>
          <w:t xml:space="preserve">20</w:t>
        </w:r>
      </w:hyperlink>
      <w:r>
        <w:t xml:space="preserve">, l. 1.</w:t>
      </w:r>
    </w:p>
  </w:footnote>
  <w:footnote w:id="12">
    <w:p>
      <w:pPr>
        <w:pStyle w:val="FootnoteText"/>
      </w:pPr>
      <w:r>
        <w:rPr>
          <w:rStyle w:val="FootnoteReference"/>
        </w:rPr>
        <w:footnoteRef/>
      </w:r>
      <w:r>
        <w:t xml:space="preserve"> </w:t>
      </w:r>
      <w:hyperlink r:id="rId9">
        <w:r>
          <w:rPr>
            <w:rStyle w:val="Hyperlink"/>
          </w:rPr>
          <w:t xml:space="preserve">Sircar [1963] 1961–1962</w:t>
        </w:r>
      </w:hyperlink>
      <w:r>
        <w:t xml:space="preserve">, p. 212, who reads</w:t>
      </w:r>
      <w:r>
        <w:t xml:space="preserve"> </w:t>
      </w:r>
      <w:r>
        <w:rPr>
          <w:i/>
          <w:iCs/>
        </w:rPr>
        <w:t xml:space="preserve">sakasamayaparasamayasa-</w:t>
      </w:r>
      <w:r>
        <w:t xml:space="preserve"> </w:t>
      </w:r>
      <w:r>
        <w:t xml:space="preserve">suggests to reconstruct</w:t>
      </w:r>
      <w:r>
        <w:t xml:space="preserve"> </w:t>
      </w:r>
      <w:r>
        <w:rPr>
          <w:i/>
          <w:iCs/>
        </w:rPr>
        <w:t xml:space="preserve">-samyakpāraga-</w:t>
      </w:r>
      <w:r>
        <w:t xml:space="preserve">, which is unlikely. He also did not identify literary parallels to this expression. Our understanding of this pair of notions is informed by the passage shared by Visuddhimagga 522 and Vibhaṅga-aṭṭakathā 130, and discussed in</w:t>
      </w:r>
      <w:r>
        <w:t xml:space="preserve"> </w:t>
      </w:r>
      <w:hyperlink r:id="rId13">
        <w:r>
          <w:rPr>
            <w:rStyle w:val="Hyperlink"/>
          </w:rPr>
          <w:t xml:space="preserve">Cousins 2001</w:t>
        </w:r>
      </w:hyperlink>
      <w:r>
        <w:t xml:space="preserve">, p. 170f. For a lenghtier discussion, see Tournier 2018, pp. 59, n. 107, who argues this series of titles point to Theriya-Vibhajjavādins monks.</w:t>
      </w:r>
    </w:p>
  </w:footnote>
</w:footnotes>
</file>

<file path=word/numbering.xml><?xml version="1.0" encoding="utf-8"?>
<w:numbering xmlns:mc="http://schemas.openxmlformats.org/markup-compatibility/2006" xmlns:o="urn:schemas-microsoft-com:office:office" xmlns:r="http://schemas.openxmlformats.org/officeDocument/2006/relationships" xmlns:v="urn:schemas-microsoft-com:vml" xmlns:w="http://schemas.openxmlformats.org/wordprocessingml/2006/main" xmlns:w14="http://schemas.microsoft.com/office/word/2010/wordml" mc:Ignorable="w14">
  <w:abstractNum w:abstractNumId="1">
    <w:lvl w:ilvl="0">
      <w:start w:val="1"/>
      <w:numFmt w:val="none"/>
      <w:suff w:val="nothing"/>
      <w:lvlText w:val=""/>
      <w:lvlJc w:val="left"/>
      <w:pPr>
        <w:tabs>
          <w:tab w:pos="0" w:val="num"/>
        </w:tabs>
        <w:ind w:hanging="0" w:left="0"/>
      </w:pPr>
      <w:rPr/>
    </w:lvl>
    <w:lvl w:ilvl="1">
      <w:start w:val="1"/>
      <w:numFmt w:val="none"/>
      <w:suff w:val="nothing"/>
      <w:lvlText w:val=""/>
      <w:lvlJc w:val="left"/>
      <w:pPr>
        <w:tabs>
          <w:tab w:pos="0" w:val="num"/>
        </w:tabs>
        <w:ind w:hanging="0" w:left="0"/>
      </w:pPr>
      <w:rPr/>
    </w:lvl>
    <w:lvl w:ilvl="2">
      <w:start w:val="1"/>
      <w:numFmt w:val="none"/>
      <w:suff w:val="nothing"/>
      <w:lvlText w:val=""/>
      <w:lvlJc w:val="left"/>
      <w:pPr>
        <w:tabs>
          <w:tab w:pos="0" w:val="num"/>
        </w:tabs>
        <w:ind w:hanging="0" w:left="0"/>
      </w:pPr>
      <w:rPr/>
    </w:lvl>
    <w:lvl w:ilvl="3">
      <w:start w:val="1"/>
      <w:numFmt w:val="none"/>
      <w:suff w:val="nothing"/>
      <w:lvlText w:val=""/>
      <w:lvlJc w:val="left"/>
      <w:pPr>
        <w:tabs>
          <w:tab w:pos="0" w:val="num"/>
        </w:tabs>
        <w:ind w:hanging="0" w:left="0"/>
      </w:pPr>
      <w:rPr/>
    </w:lvl>
    <w:lvl w:ilvl="4">
      <w:start w:val="1"/>
      <w:numFmt w:val="none"/>
      <w:suff w:val="nothing"/>
      <w:lvlText w:val=""/>
      <w:lvlJc w:val="left"/>
      <w:pPr>
        <w:tabs>
          <w:tab w:pos="0" w:val="num"/>
        </w:tabs>
        <w:ind w:hanging="0" w:left="0"/>
      </w:pPr>
      <w:rPr/>
    </w:lvl>
    <w:lvl w:ilvl="5">
      <w:start w:val="1"/>
      <w:numFmt w:val="none"/>
      <w:suff w:val="nothing"/>
      <w:lvlText w:val=""/>
      <w:lvlJc w:val="left"/>
      <w:pPr>
        <w:tabs>
          <w:tab w:pos="0" w:val="num"/>
        </w:tabs>
        <w:ind w:hanging="0" w:left="0"/>
      </w:pPr>
      <w:rPr/>
    </w:lvl>
    <w:lvl w:ilvl="6">
      <w:start w:val="1"/>
      <w:numFmt w:val="none"/>
      <w:suff w:val="nothing"/>
      <w:lvlText w:val=""/>
      <w:lvlJc w:val="left"/>
      <w:pPr>
        <w:tabs>
          <w:tab w:pos="0" w:val="num"/>
        </w:tabs>
        <w:ind w:hanging="0" w:left="0"/>
      </w:pPr>
      <w:rPr/>
    </w:lvl>
    <w:lvl w:ilvl="7">
      <w:start w:val="1"/>
      <w:numFmt w:val="none"/>
      <w:suff w:val="nothing"/>
      <w:lvlText w:val=""/>
      <w:lvlJc w:val="left"/>
      <w:pPr>
        <w:tabs>
          <w:tab w:pos="0" w:val="num"/>
        </w:tabs>
        <w:ind w:hanging="0" w:left="0"/>
      </w:pPr>
      <w:rPr/>
    </w:lvl>
    <w:lvl w:ilvl="8">
      <w:start w:val="1"/>
      <w:numFmt w:val="none"/>
      <w:suff w:val="nothing"/>
      <w:lvlText w:val=""/>
      <w:lvlJc w:val="left"/>
      <w:pPr>
        <w:tabs>
          <w:tab w:pos="0" w:val="num"/>
        </w:tabs>
        <w:ind w:hanging="0" w:left="0"/>
      </w:pPr>
      <w:rPr/>
    </w:lvl>
  </w:abstractNum>
  <w:abstractNum w:abstractNumId="2">
    <w:lvl w:ilvl="0">
      <w:start w:val="1"/>
      <w:numFmt w:val="none"/>
      <w:suff w:val="nothing"/>
      <w:lvlText w:val=""/>
      <w:lvlJc w:val="left"/>
      <w:pPr>
        <w:tabs>
          <w:tab w:pos="0" w:val="num"/>
        </w:tabs>
        <w:ind w:hanging="0" w:left="0"/>
      </w:pPr>
    </w:lvl>
    <w:lvl w:ilvl="1">
      <w:start w:val="1"/>
      <w:numFmt w:val="none"/>
      <w:suff w:val="nothing"/>
      <w:lvlText w:val=""/>
      <w:lvlJc w:val="left"/>
      <w:pPr>
        <w:tabs>
          <w:tab w:pos="0" w:val="num"/>
        </w:tabs>
        <w:ind w:hanging="0" w:left="0"/>
      </w:pPr>
    </w:lvl>
    <w:lvl w:ilvl="2">
      <w:start w:val="1"/>
      <w:numFmt w:val="none"/>
      <w:suff w:val="nothing"/>
      <w:lvlText w:val=""/>
      <w:lvlJc w:val="left"/>
      <w:pPr>
        <w:tabs>
          <w:tab w:pos="0" w:val="num"/>
        </w:tabs>
        <w:ind w:hanging="0" w:left="0"/>
      </w:pPr>
    </w:lvl>
    <w:lvl w:ilvl="3">
      <w:start w:val="1"/>
      <w:numFmt w:val="none"/>
      <w:suff w:val="nothing"/>
      <w:lvlText w:val=""/>
      <w:lvlJc w:val="left"/>
      <w:pPr>
        <w:tabs>
          <w:tab w:pos="0" w:val="num"/>
        </w:tabs>
        <w:ind w:hanging="0" w:left="0"/>
      </w:pPr>
    </w:lvl>
    <w:lvl w:ilvl="4">
      <w:start w:val="1"/>
      <w:numFmt w:val="none"/>
      <w:suff w:val="nothing"/>
      <w:lvlText w:val=""/>
      <w:lvlJc w:val="left"/>
      <w:pPr>
        <w:tabs>
          <w:tab w:pos="0" w:val="num"/>
        </w:tabs>
        <w:ind w:hanging="0" w:left="0"/>
      </w:pPr>
    </w:lvl>
    <w:lvl w:ilvl="5">
      <w:start w:val="1"/>
      <w:numFmt w:val="none"/>
      <w:suff w:val="nothing"/>
      <w:lvlText w:val=""/>
      <w:lvlJc w:val="left"/>
      <w:pPr>
        <w:tabs>
          <w:tab w:pos="0" w:val="num"/>
        </w:tabs>
        <w:ind w:hanging="0" w:left="0"/>
      </w:pPr>
    </w:lvl>
    <w:lvl w:ilvl="6">
      <w:start w:val="1"/>
      <w:numFmt w:val="none"/>
      <w:suff w:val="nothing"/>
      <w:lvlText w:val=""/>
      <w:lvlJc w:val="left"/>
      <w:pPr>
        <w:tabs>
          <w:tab w:pos="0" w:val="num"/>
        </w:tabs>
        <w:ind w:hanging="0" w:left="0"/>
      </w:pPr>
    </w:lvl>
    <w:lvl w:ilvl="7">
      <w:start w:val="1"/>
      <w:numFmt w:val="none"/>
      <w:suff w:val="nothing"/>
      <w:lvlText w:val=""/>
      <w:lvlJc w:val="left"/>
      <w:pPr>
        <w:tabs>
          <w:tab w:pos="0" w:val="num"/>
        </w:tabs>
        <w:ind w:hanging="0" w:left="0"/>
      </w:pPr>
    </w:lvl>
    <w:lvl w:ilvl="8">
      <w:start w:val="1"/>
      <w:numFmt w:val="none"/>
      <w:suff w:val="nothing"/>
      <w:lvlText w:val=""/>
      <w:lvlJc w:val="left"/>
      <w:pPr>
        <w:tabs>
          <w:tab w:pos="0" w:val="num"/>
        </w:tabs>
        <w:ind w:hanging="0" w:left="0"/>
      </w:p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abstractNumId w:val="1"/>
  </w:num>
  <w:num w:numId="2">
    <w:abstractNumId w:val="2"/>
  </w: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75"/>
  <w:embedSystemFonts/>
  <w:proofState w:grammar="clean" w:spelling="clean"/>
  <w:stylePaneFormatFilter w:val="0004"/>
  <w:doNotTrackMoves/>
  <w:defaultTabStop w:val="720"/>
  <w:autoHyphenation w:val="true"/>
  <w:hyphenationZone w:val="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2"/>
  </w:compat>
  <w:rsids>
  </w:rsids>
  <w:themeFontLang w:bidi="" w:eastAsia=""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Aptos" w:asciiTheme="minorHAnsi" w:cs="" w:cstheme="minorBidi" w:eastAsia="Aptos" w:eastAsiaTheme="minorHAnsi" w:hAnsi="Aptos" w:hAnsiTheme="minorHAnsi"/>
        <w:sz w:val="24"/>
        <w:szCs w:val="24"/>
        <w:lang w:bidi="ar-SA" w:eastAsia="en-US" w:val="en-US"/>
      </w:rPr>
    </w:rPrDefault>
    <w:pPrDefault>
      <w:pPr>
        <w:suppressAutoHyphens w:val="true"/>
      </w:pPr>
    </w:pPrDefault>
  </w:docDefaults>
  <w:latentStyles w:count="276" w:defLockedState="0" w:defQFormat="0" w:defSemiHidden="0" w:defUIPriority="0" w:defUnhideWhenUsed="0"/>
  <w:style w:default="1" w:styleId="Normal" w:type="paragraph">
    <w:name w:val="Normal"/>
    <w:qFormat/>
    <w:pPr>
      <w:widowControl/>
      <w:suppressAutoHyphens w:val="true"/>
      <w:bidi w:val="0"/>
      <w:spacing w:after="200" w:before="0" w:line="276" w:lineRule="auto"/>
      <w:jc w:val="left"/>
    </w:pPr>
    <w:rPr>
      <w:rFonts w:ascii="Gentium" w:cs="" w:cstheme="minorBidi" w:eastAsia="Aptos" w:eastAsiaTheme="minorHAnsi" w:hAnsi="Gentium"/>
      <w:color w:val="auto"/>
      <w:kern w:val="0"/>
      <w:sz w:val="24"/>
      <w:szCs w:val="24"/>
      <w:lang w:bidi="ar-SA" w:eastAsia="en-US" w:val="en-US"/>
    </w:rPr>
  </w:style>
  <w:style w:styleId="Heading1" w:type="paragraph">
    <w:name w:val="heading 1"/>
    <w:basedOn w:val="Normal"/>
    <w:next w:val="BodyText"/>
    <w:link w:val="Heading1Char"/>
    <w:uiPriority w:val="9"/>
    <w:qFormat/>
    <w:rsid w:val="00a10fd9"/>
    <w:pPr>
      <w:keepNext w:val="true"/>
      <w:keepLines/>
      <w:spacing w:after="80" w:before="360" w:line="240" w:lineRule="auto"/>
      <w:outlineLvl w:val="0"/>
    </w:pPr>
    <w:rPr>
      <w:rFonts w:ascii="Gentium" w:cs="" w:cstheme="majorBidi" w:eastAsia="" w:eastAsiaTheme="majorEastAsia" w:hAnsi="Gentium"/>
      <w:color w:val="auto"/>
      <w:sz w:val="40"/>
      <w:szCs w:val="40"/>
    </w:rPr>
  </w:style>
  <w:style w:styleId="Heading2" w:type="paragraph">
    <w:name w:val="heading 2"/>
    <w:basedOn w:val="Normal"/>
    <w:next w:val="BodyText"/>
    <w:link w:val="Heading2Char"/>
    <w:uiPriority w:val="9"/>
    <w:semiHidden/>
    <w:unhideWhenUsed/>
    <w:qFormat/>
    <w:rsid w:val="00a10fd9"/>
    <w:pPr>
      <w:keepNext w:val="true"/>
      <w:keepLines/>
      <w:spacing w:after="80" w:before="160"/>
      <w:outlineLvl w:val="1"/>
    </w:pPr>
    <w:rPr>
      <w:rFonts w:ascii="Gentium" w:cs="" w:cstheme="majorBidi" w:eastAsia="" w:eastAsiaTheme="majorEastAsia" w:hAnsi="Gentium"/>
      <w:color w:val="000000"/>
      <w:sz w:val="32"/>
      <w:szCs w:val="32"/>
    </w:rPr>
  </w:style>
  <w:style w:styleId="Heading3" w:type="paragraph">
    <w:name w:val="heading 3"/>
    <w:basedOn w:val="Normal"/>
    <w:next w:val="BodyText"/>
    <w:link w:val="Heading3Char"/>
    <w:uiPriority w:val="9"/>
    <w:semiHidden/>
    <w:unhideWhenUsed/>
    <w:qFormat/>
    <w:rsid w:val="00a10fd9"/>
    <w:pPr>
      <w:keepNext w:val="true"/>
      <w:keepLines/>
      <w:spacing w:after="80" w:before="160"/>
      <w:outlineLvl w:val="2"/>
    </w:pPr>
    <w:rPr>
      <w:rFonts w:ascii="Gentium" w:cs="" w:cstheme="majorBidi" w:eastAsia="" w:eastAsiaTheme="majorEastAsia" w:hAnsi="Gentium"/>
      <w:color w:val="000000"/>
      <w:sz w:val="28"/>
      <w:szCs w:val="28"/>
    </w:rPr>
  </w:style>
  <w:style w:styleId="Heading4" w:type="paragraph">
    <w:name w:val="heading 4"/>
    <w:basedOn w:val="Normal"/>
    <w:next w:val="BodyText"/>
    <w:link w:val="Heading4Char"/>
    <w:uiPriority w:val="9"/>
    <w:semiHidden/>
    <w:unhideWhenUsed/>
    <w:qFormat/>
    <w:rsid w:val="00a10fd9"/>
    <w:pPr>
      <w:keepNext w:val="true"/>
      <w:keepLines/>
      <w:spacing w:after="40" w:before="80"/>
      <w:outlineLvl w:val="3"/>
    </w:pPr>
    <w:rPr>
      <w:rFonts w:ascii="Gentium" w:cs="" w:cstheme="majorBidi" w:eastAsia="" w:eastAsiaTheme="majorEastAsia" w:hAnsi="Gentium"/>
      <w:i/>
      <w:iCs/>
      <w:color w:val="000000"/>
    </w:rPr>
  </w:style>
  <w:style w:styleId="Heading5" w:type="paragraph">
    <w:name w:val="heading 5"/>
    <w:basedOn w:val="Normal"/>
    <w:next w:val="BodyText"/>
    <w:link w:val="Heading5Char"/>
    <w:uiPriority w:val="9"/>
    <w:semiHidden/>
    <w:unhideWhenUsed/>
    <w:qFormat/>
    <w:rsid w:val="00a10fd9"/>
    <w:pPr>
      <w:keepNext w:val="true"/>
      <w:keepLines/>
      <w:spacing w:after="40" w:before="80"/>
      <w:outlineLvl w:val="4"/>
    </w:pPr>
    <w:rPr>
      <w:rFonts w:ascii="Gentium" w:cs="" w:cstheme="majorBidi" w:eastAsia="" w:eastAsiaTheme="majorEastAsia" w:hAnsi="Gentium"/>
      <w:color w:val="000000"/>
    </w:rPr>
  </w:style>
  <w:style w:styleId="Heading6" w:type="paragraph">
    <w:name w:val="heading 6"/>
    <w:basedOn w:val="Normal"/>
    <w:next w:val="BodyText"/>
    <w:link w:val="Heading6Char"/>
    <w:uiPriority w:val="9"/>
    <w:semiHidden/>
    <w:unhideWhenUsed/>
    <w:qFormat/>
    <w:rsid w:val="00a10fd9"/>
    <w:pPr>
      <w:keepNext w:val="true"/>
      <w:keepLines/>
      <w:spacing w:after="0" w:before="40"/>
      <w:outlineLvl w:val="5"/>
    </w:pPr>
    <w:rPr>
      <w:rFonts w:ascii="Gentium" w:cs="" w:cstheme="majorBidi" w:eastAsia="" w:eastAsiaTheme="majorEastAsia" w:hAnsi="Gentium"/>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val="true"/>
      <w:keepLines/>
      <w:spacing w:after="0" w:before="40"/>
      <w:outlineLvl w:val="6"/>
    </w:pPr>
    <w:rPr>
      <w:rFonts w:ascii="Gentium" w:cs="" w:cstheme="majorBidi" w:eastAsia="" w:eastAsiaTheme="majorEastAsia" w:hAnsi="Gentium"/>
      <w:color w:themeColor="text1" w:themeTint="a6" w:val="595959"/>
    </w:rPr>
  </w:style>
  <w:style w:styleId="Heading8" w:type="paragraph">
    <w:name w:val="heading 8"/>
    <w:basedOn w:val="Normal"/>
    <w:next w:val="BodyText"/>
    <w:link w:val="Heading8Char"/>
    <w:uiPriority w:val="9"/>
    <w:semiHidden/>
    <w:unhideWhenUsed/>
    <w:qFormat/>
    <w:rsid w:val="00a10fd9"/>
    <w:pPr>
      <w:keepNext w:val="true"/>
      <w:keepLines/>
      <w:spacing w:after="0" w:before="0"/>
      <w:outlineLvl w:val="7"/>
    </w:pPr>
    <w:rPr>
      <w:rFonts w:ascii="Gentium" w:cs="" w:cstheme="majorBidi" w:eastAsia="" w:eastAsiaTheme="majorEastAsia" w:hAnsi="Gentium"/>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val="true"/>
      <w:keepLines/>
      <w:spacing w:after="0" w:before="0"/>
      <w:outlineLvl w:val="8"/>
    </w:pPr>
    <w:rPr>
      <w:rFonts w:ascii="Gentium" w:cs="" w:cstheme="majorBidi" w:eastAsia="" w:eastAsiaTheme="majorEastAsia" w:hAnsi="Gentium"/>
      <w:color w:themeColor="text1" w:themeTint="d8" w:val="272727"/>
    </w:rPr>
  </w:style>
  <w:style w:customStyle="1" w:styleId="TitleChar" w:type="character">
    <w:name w:val="Title Char"/>
    <w:basedOn w:val="DefaultParagraphFont"/>
    <w:link w:val="Title"/>
    <w:uiPriority w:val="10"/>
    <w:qFormat/>
    <w:rsid w:val="00a10fd9"/>
    <w:rPr>
      <w:rFonts w:ascii="Aptos Display" w:asciiTheme="majorHAnsi" w:cs="" w:cstheme="majorBidi" w:eastAsia="" w:eastAsiaTheme="majorEastAsia" w:hAnsi="Aptos Display" w:hAnsiTheme="majorHAnsi"/>
      <w:sz w:val="56"/>
      <w:szCs w:val="56"/>
    </w:rPr>
  </w:style>
  <w:style w:customStyle="1" w:styleId="SubtitleChar" w:type="character">
    <w:name w:val="Subtitle Char"/>
    <w:basedOn w:val="DefaultParagraphFont"/>
    <w:link w:val="Subtitle"/>
    <w:uiPriority w:val="11"/>
    <w:qFormat/>
    <w:rsid w:val="00a10fd9"/>
    <w:rPr>
      <w:rFonts w:cs="" w:cstheme="majorBidi" w:eastAsia="" w:eastAsiaTheme="majorEastAsia"/>
      <w:color w:themeColor="text1" w:themeTint="a6" w:val="595959"/>
      <w:spacing w:val="15"/>
      <w:sz w:val="28"/>
      <w:szCs w:val="28"/>
    </w:rPr>
  </w:style>
  <w:style w:customStyle="1" w:styleId="Heading1Char" w:type="character">
    <w:name w:val="Heading 1 Char"/>
    <w:basedOn w:val="DefaultParagraphFont"/>
    <w:link w:val="Heading1"/>
    <w:uiPriority w:val="9"/>
    <w:qFormat/>
    <w:rsid w:val="00a10fd9"/>
    <w:rPr>
      <w:rFonts w:ascii="Aptos Display" w:asciiTheme="majorHAnsi" w:cs="" w:cstheme="majorBidi" w:eastAsia="" w:eastAsiaTheme="majorEastAsia" w:hAnsi="Aptos Display" w:hAnsiTheme="majorHAnsi"/>
      <w:color w:themeColor="accent1" w:themeShade="bf" w:val="0F4761"/>
      <w:sz w:val="40"/>
      <w:szCs w:val="40"/>
    </w:rPr>
  </w:style>
  <w:style w:customStyle="1" w:styleId="Heading2Char" w:type="character">
    <w:name w:val="Heading 2 Char"/>
    <w:basedOn w:val="DefaultParagraphFont"/>
    <w:link w:val="Heading2"/>
    <w:uiPriority w:val="9"/>
    <w:semiHidden/>
    <w:qFormat/>
    <w:rsid w:val="00a10fd9"/>
    <w:rPr>
      <w:rFonts w:ascii="Aptos Display" w:asciiTheme="majorHAnsi" w:cs="" w:cstheme="majorBidi" w:eastAsia="" w:eastAsiaTheme="majorEastAsia" w:hAnsi="Aptos Display" w:hAnsiTheme="majorHAnsi"/>
      <w:color w:themeColor="accent1" w:themeShade="bf" w:val="0F4761"/>
      <w:sz w:val="32"/>
      <w:szCs w:val="32"/>
    </w:rPr>
  </w:style>
  <w:style w:customStyle="1" w:styleId="Heading3Char" w:type="character">
    <w:name w:val="Heading 3 Char"/>
    <w:basedOn w:val="DefaultParagraphFont"/>
    <w:link w:val="Heading3"/>
    <w:uiPriority w:val="9"/>
    <w:semiHidden/>
    <w:qFormat/>
    <w:rsid w:val="00a10fd9"/>
    <w:rPr>
      <w:rFonts w:cs="" w:cstheme="majorBidi" w:eastAsia=""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qFormat/>
    <w:rsid w:val="00a10fd9"/>
    <w:rPr>
      <w:rFonts w:cs="" w:cstheme="majorBidi" w:eastAsia="" w:eastAsiaTheme="majorEastAsia"/>
      <w:i/>
      <w:iCs/>
      <w:color w:themeColor="accent1" w:themeShade="bf" w:val="0F4761"/>
    </w:rPr>
  </w:style>
  <w:style w:customStyle="1" w:styleId="Heading5Char" w:type="character">
    <w:name w:val="Heading 5 Char"/>
    <w:basedOn w:val="DefaultParagraphFont"/>
    <w:link w:val="Heading5"/>
    <w:uiPriority w:val="9"/>
    <w:semiHidden/>
    <w:qFormat/>
    <w:rsid w:val="00a10fd9"/>
    <w:rPr>
      <w:rFonts w:cs="" w:cstheme="majorBidi" w:eastAsia="" w:eastAsiaTheme="majorEastAsia"/>
      <w:color w:themeColor="accent1" w:themeShade="bf" w:val="0F4761"/>
    </w:rPr>
  </w:style>
  <w:style w:customStyle="1" w:styleId="Heading6Char" w:type="character">
    <w:name w:val="Heading 6 Char"/>
    <w:basedOn w:val="DefaultParagraphFont"/>
    <w:link w:val="Heading6"/>
    <w:uiPriority w:val="9"/>
    <w:semiHidden/>
    <w:qFormat/>
    <w:rsid w:val="00a10fd9"/>
    <w:rPr>
      <w:rFonts w:cs="" w:cstheme="majorBidi" w:eastAsia="" w:eastAsiaTheme="majorEastAsia"/>
      <w:i/>
      <w:iCs/>
      <w:color w:themeColor="text1" w:themeTint="a6" w:val="595959"/>
    </w:rPr>
  </w:style>
  <w:style w:customStyle="1" w:styleId="Heading7Char" w:type="character">
    <w:name w:val="Heading 7 Char"/>
    <w:basedOn w:val="DefaultParagraphFont"/>
    <w:link w:val="Heading7"/>
    <w:uiPriority w:val="9"/>
    <w:semiHidden/>
    <w:qFormat/>
    <w:rsid w:val="00a10fd9"/>
    <w:rPr>
      <w:rFonts w:cs="" w:cstheme="majorBidi" w:eastAsia="" w:eastAsiaTheme="majorEastAsia"/>
      <w:color w:themeColor="text1" w:themeTint="a6" w:val="595959"/>
    </w:rPr>
  </w:style>
  <w:style w:customStyle="1" w:styleId="Heading8Char" w:type="character">
    <w:name w:val="Heading 8 Char"/>
    <w:basedOn w:val="DefaultParagraphFont"/>
    <w:link w:val="Heading8"/>
    <w:uiPriority w:val="9"/>
    <w:semiHidden/>
    <w:qFormat/>
    <w:rsid w:val="00a10fd9"/>
    <w:rPr>
      <w:rFonts w:cs="" w:cstheme="majorBidi" w:eastAsia="" w:eastAsiaTheme="majorEastAsia"/>
      <w:i/>
      <w:iCs/>
      <w:color w:themeColor="text1" w:themeTint="d8" w:val="272727"/>
    </w:rPr>
  </w:style>
  <w:style w:customStyle="1" w:styleId="Heading9Char" w:type="character">
    <w:name w:val="Heading 9 Char"/>
    <w:basedOn w:val="DefaultParagraphFont"/>
    <w:link w:val="Heading9"/>
    <w:uiPriority w:val="9"/>
    <w:semiHidden/>
    <w:qFormat/>
    <w:rsid w:val="00a10fd9"/>
    <w:rPr>
      <w:rFonts w:cs="" w:cstheme="majorBidi" w:eastAsia="" w:eastAsiaTheme="majorEastAsia"/>
      <w:color w:themeColor="text1" w:themeTint="d8" w:val="272727"/>
    </w:rPr>
  </w:style>
  <w:style w:default="1" w:styleId="DefaultParagraphFont" w:type="character">
    <w:name w:val="Default Paragraph Font"/>
    <w:semiHidden/>
    <w:unhideWhenUsed/>
    <w:qFormat/>
    <w:rPr/>
  </w:style>
  <w:style w:customStyle="1" w:styleId="BodyTextChar" w:type="character">
    <w:name w:val="Body Text Char"/>
    <w:basedOn w:val="DefaultParagraphFont"/>
    <w:qFormat/>
    <w:rPr/>
  </w:style>
  <w:style w:customStyle="1" w:styleId="VerbatimChar" w:type="character">
    <w:name w:val="Verbatim Char"/>
    <w:basedOn w:val="BodyTextChar"/>
    <w:qFormat/>
    <w:rPr>
      <w:rFonts w:ascii="Consolas" w:hAnsi="Consolas"/>
      <w:sz w:val="22"/>
    </w:rPr>
  </w:style>
  <w:style w:customStyle="1" w:styleId="SectionNumber" w:type="character">
    <w:name w:val="Section Number"/>
    <w:basedOn w:val="BodyTextChar"/>
    <w:qFormat/>
    <w:rPr/>
  </w:style>
  <w:style w:styleId="FootnoteCharactersuser" w:type="character">
    <w:name w:val="Footnote Characters (user)"/>
    <w:qFormat/>
    <w:rPr>
      <w:vertAlign w:val="superscript"/>
    </w:rPr>
  </w:style>
  <w:style w:styleId="FootnoteCharacters" w:type="character">
    <w:name w:val="Footnote Characters"/>
    <w:qFormat/>
    <w:rPr>
      <w:vertAlign w:val="superscript"/>
    </w:rPr>
  </w:style>
  <w:style w:styleId="FootnoteReference" w:type="character">
    <w:name w:val="footnote reference"/>
    <w:rPr>
      <w:vertAlign w:val="superscript"/>
    </w:rPr>
  </w:style>
  <w:style w:styleId="Hyperlink" w:type="character">
    <w:name w:val="Hyperlink"/>
    <w:basedOn w:val="BodyTextChar"/>
    <w:rPr>
      <w:color w:themeColor="accent1" w:val="4F81BD"/>
    </w:rPr>
  </w:style>
  <w:style w:styleId="ColorGray" w:type="character">
    <w:name w:val="ColorGray"/>
    <w:basedOn w:val="BodyTextChar"/>
    <w:qFormat/>
    <w:rPr>
      <w:color w:val="666666"/>
    </w:rPr>
  </w:style>
  <w:style w:styleId="ColorGreen" w:type="character">
    <w:name w:val="ColorGreen"/>
    <w:basedOn w:val="DefaultParagraphFont"/>
    <w:qFormat/>
    <w:rPr>
      <w:color w:val="069A2E"/>
    </w:rPr>
  </w:style>
  <w:style w:styleId="ColorBrown" w:type="character">
    <w:name w:val="ColorBrown"/>
    <w:basedOn w:val="ColorGreen"/>
    <w:qFormat/>
    <w:rPr>
      <w:color w:val="784B04"/>
    </w:rPr>
  </w:style>
  <w:style w:styleId="CaptionCharactersuser" w:type="character">
    <w:name w:val="Caption Characters (user)"/>
    <w:qFormat/>
    <w:rPr/>
  </w:style>
  <w:style w:styleId="ColorRed" w:type="character">
    <w:name w:val="ColorRed"/>
    <w:basedOn w:val="CaptionCharactersuser"/>
    <w:qFormat/>
    <w:rPr>
      <w:color w:val="C9211E"/>
    </w:rPr>
  </w:style>
  <w:style w:styleId="ColorMagenta" w:type="character">
    <w:name w:val="ColorMagenta"/>
    <w:basedOn w:val="ColorBrown"/>
    <w:qFormat/>
    <w:rPr>
      <w:color w:val="800080"/>
    </w:rPr>
  </w:style>
  <w:style w:styleId="ColorBlue" w:type="character">
    <w:name w:val="ColorBlue"/>
    <w:basedOn w:val="ColorGray"/>
    <w:qFormat/>
    <w:rPr>
      <w:color w:val="2A6099"/>
    </w:rPr>
  </w:style>
  <w:style w:styleId="ColorBlack" w:type="character">
    <w:name w:val="ColorBlack"/>
    <w:basedOn w:val="ColorBlue"/>
    <w:qFormat/>
    <w:rPr>
      <w:color w:val="000000"/>
    </w:rPr>
  </w:style>
  <w:style w:styleId="EndnoteCharacters" w:type="character">
    <w:name w:val="Endnote Characters"/>
    <w:qFormat/>
    <w:rPr>
      <w:vertAlign w:val="superscript"/>
    </w:rPr>
  </w:style>
  <w:style w:styleId="EndnoteCharactersuser" w:type="character">
    <w:name w:val="Endnote Characters (user)"/>
    <w:qFormat/>
    <w:rPr>
      <w:vertAlign w:val="superscript"/>
    </w:rPr>
  </w:style>
  <w:style w:styleId="EndnoteReference" w:type="character">
    <w:name w:val="endnote reference"/>
    <w:rPr>
      <w:vertAlign w:val="superscript"/>
    </w:rPr>
  </w:style>
  <w:style w:styleId="Heading" w:type="paragraph">
    <w:name w:val="Heading"/>
    <w:basedOn w:val="Normal"/>
    <w:next w:val="BodyText"/>
    <w:qFormat/>
    <w:pPr>
      <w:keepNext w:val="true"/>
      <w:spacing w:after="120" w:before="240"/>
    </w:pPr>
    <w:rPr>
      <w:rFonts w:ascii="Gentium" w:cs="Noto Sans Devanagari" w:eastAsia="Noto Sans CJK SC" w:hAnsi="Gentium"/>
      <w:sz w:val="28"/>
      <w:szCs w:val="28"/>
    </w:rPr>
  </w:style>
  <w:style w:styleId="BodyText" w:type="paragraph">
    <w:name w:val="Body Text"/>
    <w:basedOn w:val="Normal"/>
    <w:link w:val="BodyTextChar"/>
    <w:qFormat/>
    <w:pPr>
      <w:spacing w:after="180" w:before="180" w:line="276" w:lineRule="auto"/>
    </w:pPr>
    <w:rPr>
      <w:rFonts w:ascii="Gentium" w:hAnsi="Gentium"/>
    </w:rPr>
  </w:style>
  <w:style w:styleId="List" w:type="paragraph">
    <w:name w:val="List"/>
    <w:basedOn w:val="BodyText"/>
    <w:pPr/>
    <w:rPr>
      <w:rFonts w:ascii="Gentium" w:cs="Noto Sans Devanagari" w:hAnsi="Gentium"/>
    </w:rPr>
  </w:style>
  <w:style w:styleId="Caption" w:type="paragraph">
    <w:name w:val="caption"/>
    <w:basedOn w:val="Normal"/>
    <w:link w:val="BodyTextChar"/>
    <w:qFormat/>
    <w:pPr>
      <w:spacing w:after="120" w:before="0"/>
    </w:pPr>
    <w:rPr>
      <w:rFonts w:ascii="Gentium" w:hAnsi="Gentium"/>
      <w:i/>
    </w:rPr>
  </w:style>
  <w:style w:styleId="Index" w:type="paragraph">
    <w:name w:val="Index"/>
    <w:basedOn w:val="Normal"/>
    <w:qFormat/>
    <w:pPr>
      <w:suppressLineNumbers/>
    </w:pPr>
    <w:rPr>
      <w:rFonts w:ascii="Gentium" w:cs="Noto Sans Devanagari" w:hAnsi="Gentium"/>
    </w:rPr>
  </w:style>
  <w:style w:customStyle="1" w:styleId="FirstParagraph" w:type="paragraph">
    <w:name w:val="First Paragraph"/>
    <w:basedOn w:val="BodyText"/>
    <w:next w:val="BodyText"/>
    <w:qFormat/>
    <w:pPr>
      <w:spacing w:line="276" w:lineRule="auto"/>
    </w:pPr>
    <w:rPr>
      <w:rFonts w:ascii="Gentium" w:hAnsi="Gentium"/>
    </w:rPr>
  </w:style>
  <w:style w:customStyle="1" w:styleId="Compact" w:type="paragraph">
    <w:name w:val="Compact"/>
    <w:basedOn w:val="BodyText"/>
    <w:qFormat/>
    <w:pPr>
      <w:spacing w:after="36" w:before="36"/>
    </w:pPr>
    <w:rPr/>
  </w:style>
  <w:style w:styleId="Title" w:type="paragraph">
    <w:name w:val="Title"/>
    <w:basedOn w:val="Normal"/>
    <w:next w:val="BodyText"/>
    <w:link w:val="TitleChar"/>
    <w:uiPriority w:val="10"/>
    <w:qFormat/>
    <w:rsid w:val="00a10fd9"/>
    <w:pPr>
      <w:spacing w:after="80" w:before="0" w:line="240" w:lineRule="auto"/>
      <w:contextualSpacing/>
      <w:jc w:val="center"/>
    </w:pPr>
    <w:rPr>
      <w:rFonts w:ascii="Gentium" w:cs="" w:cstheme="majorBidi" w:eastAsia="" w:eastAsiaTheme="majorEastAsia" w:hAnsi="Gentium"/>
      <w:sz w:val="56"/>
      <w:szCs w:val="56"/>
    </w:rPr>
  </w:style>
  <w:style w:styleId="Subtitle" w:type="paragraph">
    <w:name w:val="Subtitle"/>
    <w:basedOn w:val="Title"/>
    <w:next w:val="BodyText"/>
    <w:link w:val="SubtitleChar"/>
    <w:uiPriority w:val="11"/>
    <w:qFormat/>
    <w:rsid w:val="00a10fd9"/>
    <w:pPr/>
    <w:rPr>
      <w:rFonts w:cs="" w:cstheme="majorBidi" w:eastAsia="" w:eastAsiaTheme="majorEastAsia"/>
      <w:spacing w:val="15"/>
      <w:sz w:val="28"/>
      <w:szCs w:val="28"/>
    </w:rPr>
  </w:style>
  <w:style w:customStyle="1" w:styleId="Author" w:type="paragraph">
    <w:name w:val="Author"/>
    <w:basedOn w:val="Title"/>
    <w:next w:val="BodyText"/>
    <w:qFormat/>
    <w:pPr>
      <w:keepNext w:val="true"/>
      <w:keepLines/>
    </w:pPr>
    <w:rPr>
      <w:sz w:val="24"/>
      <w:szCs w:val="24"/>
    </w:rPr>
  </w:style>
  <w:style w:styleId="Date" w:type="paragraph">
    <w:name w:val="Date"/>
    <w:basedOn w:val="Title"/>
    <w:next w:val="BodyText"/>
    <w:qFormat/>
    <w:pPr>
      <w:keepNext w:val="true"/>
      <w:keepLines/>
    </w:pPr>
    <w:rPr>
      <w:sz w:val="24"/>
      <w:szCs w:val="24"/>
    </w:rPr>
  </w:style>
  <w:style w:customStyle="1" w:styleId="AbstractTitle" w:type="paragraph">
    <w:name w:val="Abstract Title"/>
    <w:basedOn w:val="Normal"/>
    <w:next w:val="Abstract"/>
    <w:qFormat/>
    <w:pPr>
      <w:keepNext w:val="true"/>
      <w:keepLines/>
      <w:spacing w:after="0" w:before="300"/>
      <w:jc w:val="center"/>
    </w:pPr>
    <w:rPr>
      <w:b/>
      <w:sz w:val="20"/>
      <w:szCs w:val="20"/>
    </w:rPr>
  </w:style>
  <w:style w:customStyle="1" w:styleId="Abstract" w:type="paragraph">
    <w:name w:val="Abstract"/>
    <w:basedOn w:val="Normal"/>
    <w:next w:val="BodyText"/>
    <w:qFormat/>
    <w:pPr>
      <w:keepNext w:val="true"/>
      <w:keepLines/>
      <w:spacing w:after="300" w:before="100"/>
    </w:pPr>
    <w:rPr>
      <w:rFonts w:ascii="Gentium" w:hAnsi="Gentium"/>
      <w:sz w:val="20"/>
      <w:szCs w:val="20"/>
    </w:rPr>
  </w:style>
  <w:style w:styleId="Bibliography" w:type="paragraph">
    <w:name w:val="Bibliography"/>
    <w:basedOn w:val="Normal"/>
    <w:qFormat/>
    <w:pPr/>
    <w:rPr/>
  </w:style>
  <w:style w:styleId="BlockText" w:type="paragraph">
    <w:name w:val="Block Text"/>
    <w:basedOn w:val="BodyText"/>
    <w:next w:val="BodyText"/>
    <w:uiPriority w:val="9"/>
    <w:unhideWhenUsed/>
    <w:qFormat/>
    <w:pPr>
      <w:spacing w:after="100" w:before="100"/>
      <w:ind w:hanging="0" w:left="480" w:right="480"/>
    </w:pPr>
    <w:rPr/>
  </w:style>
  <w:style w:styleId="FootnoteText" w:type="paragraph">
    <w:name w:val="footnote text"/>
    <w:basedOn w:val="Normal"/>
    <w:uiPriority w:val="9"/>
    <w:unhideWhenUsed/>
    <w:qFormat/>
    <w:pPr/>
    <w:rPr>
      <w:rFonts w:ascii="Gentium" w:hAnsi="Gentium"/>
    </w:rPr>
  </w:style>
  <w:style w:styleId="FootnoteBlockText" w:type="paragraph">
    <w:name w:val="Footnote Block Text"/>
    <w:basedOn w:val="FootnoteText"/>
    <w:next w:val="FootnoteText"/>
    <w:uiPriority w:val="9"/>
    <w:unhideWhenUsed/>
    <w:qFormat/>
    <w:pPr>
      <w:spacing w:after="100" w:before="100"/>
      <w:ind w:hanging="0" w:left="480" w:right="480"/>
    </w:pPr>
    <w:rPr>
      <w:rFonts w:ascii="Gentium" w:hAnsi="Gentium"/>
    </w:rPr>
  </w:style>
  <w:style w:customStyle="1" w:styleId="DefinitionTerm" w:type="paragraph">
    <w:name w:val="Definition Term"/>
    <w:basedOn w:val="Normal"/>
    <w:next w:val="Definition"/>
    <w:qFormat/>
    <w:pPr>
      <w:keepNext w:val="true"/>
      <w:keepLines/>
      <w:spacing w:after="0" w:before="0"/>
    </w:pPr>
    <w:rPr>
      <w:rFonts w:ascii="Gentium" w:hAnsi="Gentium"/>
      <w:b/>
    </w:rPr>
  </w:style>
  <w:style w:customStyle="1" w:styleId="Definition" w:type="paragraph">
    <w:name w:val="Definition"/>
    <w:basedOn w:val="Normal"/>
    <w:qFormat/>
    <w:pPr>
      <w:ind w:left="475"/>
    </w:pPr>
    <w:rPr>
      <w:rFonts w:ascii="Gentium" w:hAnsi="Gentium"/>
    </w:rPr>
  </w:style>
  <w:style w:customStyle="1" w:styleId="TableCaption" w:type="paragraph">
    <w:name w:val="Table Caption"/>
    <w:basedOn w:val="Caption"/>
    <w:qFormat/>
    <w:pPr>
      <w:keepNext w:val="true"/>
    </w:pPr>
    <w:rPr/>
  </w:style>
  <w:style w:customStyle="1" w:styleId="ImageCaption" w:type="paragraph">
    <w:name w:val="Image Caption"/>
    <w:basedOn w:val="Caption"/>
    <w:qFormat/>
    <w:pPr/>
    <w:rPr/>
  </w:style>
  <w:style w:customStyle="1" w:styleId="Figure" w:type="paragraph">
    <w:name w:val="Figure"/>
    <w:basedOn w:val="Normal"/>
    <w:qFormat/>
    <w:pPr/>
    <w:rPr/>
  </w:style>
  <w:style w:customStyle="1" w:styleId="CaptionedFigure" w:type="paragraph">
    <w:name w:val="Captioned Figure"/>
    <w:basedOn w:val="Figure"/>
    <w:qFormat/>
    <w:pPr>
      <w:keepNext w:val="true"/>
    </w:pPr>
    <w:rPr/>
  </w:style>
  <w:style w:styleId="IndexHeading" w:type="paragraph">
    <w:name w:val="index heading"/>
    <w:basedOn w:val="Heading"/>
    <w:pPr/>
    <w:rPr/>
  </w:style>
  <w:style w:styleId="TOCHeading" w:type="paragraph">
    <w:name w:val="TOC Heading"/>
    <w:basedOn w:val="Heading1"/>
    <w:next w:val="BodyText"/>
    <w:uiPriority w:val="39"/>
    <w:unhideWhenUsed/>
    <w:qFormat/>
    <w:pPr>
      <w:spacing w:after="80" w:before="240" w:line="259" w:lineRule="auto"/>
      <w:outlineLvl w:val="9"/>
    </w:pPr>
    <w:rPr>
      <w:rFonts w:ascii="Aptos Display" w:asciiTheme="majorHAnsi" w:cs="" w:cstheme="majorBidi" w:eastAsia="" w:eastAsiaTheme="majorEastAsia" w:hAnsi="Aptos Display" w:hAnsiTheme="majorHAnsi"/>
      <w:b w:val="false"/>
      <w:bCs w:val="false"/>
      <w:color w:themeColor="accent1" w:themeShade="bf" w:val="365F91"/>
    </w:rPr>
  </w:style>
  <w:style w:styleId="Heading10" w:type="paragraph">
    <w:name w:val="Heading 10"/>
    <w:basedOn w:val="Heading"/>
    <w:next w:val="BodyText"/>
    <w:qFormat/>
    <w:pPr>
      <w:numPr>
        <w:ilvl w:val="8"/>
        <w:numId w:val="1"/>
      </w:numPr>
      <w:spacing w:after="60" w:before="60"/>
      <w:outlineLvl w:val="8"/>
    </w:pPr>
    <w:rPr>
      <w:b/>
      <w:bCs/>
      <w:sz w:val="18"/>
      <w:szCs w:val="18"/>
    </w:rPr>
  </w:style>
  <w:style w:styleId="BodyTextIndent" w:type="paragraph">
    <w:name w:val="Body Text Indent"/>
    <w:basedOn w:val="BodyText"/>
    <w:pPr>
      <w:ind w:hanging="0" w:left="283"/>
    </w:pPr>
    <w:rPr/>
  </w:style>
  <w:style w:styleId="BlockQuotationuser" w:type="paragraph">
    <w:name w:val="Block Quotation (user)"/>
    <w:basedOn w:val="Normal"/>
    <w:qFormat/>
    <w:pPr>
      <w:spacing w:after="283" w:before="0"/>
      <w:ind w:hanging="0" w:left="567" w:right="567"/>
    </w:pPr>
    <w:rPr>
      <w:rFonts w:ascii="Gentium" w:hAnsi="Gentium"/>
    </w:rPr>
  </w:style>
  <w:style w:default="1" w:styleId="Table" w:type="table">
    <w:name w:val="Table"/>
    <w:basedOn w:val="TableNormal"/>
    <w:semiHidden/>
    <w:unhideWhenUsed/>
    <w:qFormat/>
    <w:tblPr>
      <w:tblCellMar>
        <w:top w:type="dxa" w:w="0"/>
        <w:left w:type="dxa" w:w="108"/>
        <w:bottom w:type="dxa" w:w="0"/>
        <w:right w:type="dxa" w:w="108"/>
      </w:tblCellMar>
    </w:tblPr>
    <w:tblStylePr w:type="firstRow">
      <w:tblPr/>
      <w:tcPr>
        <w:tcBorders>
          <w:bottom w:val="single"/>
        </w:tcBorders>
        <w:vAlign w:val="bottom"/>
      </w:tcPr>
    </w:tblStyle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https://brill.com/view/journals/iij/61/1/article-p20_2.xml" TargetMode="External" /><Relationship Type="http://schemas.openxmlformats.org/officeDocument/2006/relationships/hyperlink" Id="rId13" Target="https://dharmalekha.info/bibliography/entry/Cousins2001_01" TargetMode="External" /><Relationship Type="http://schemas.openxmlformats.org/officeDocument/2006/relationships/hyperlink" Id="rId9" Target="https://dharmalekha.info/bibliography/entry/Sircar1961-1962_03" TargetMode="External" /><Relationship Type="http://schemas.openxmlformats.org/officeDocument/2006/relationships/hyperlink" Id="rId11" Target="https://dharmalekha.info/texts/INSEIAD00020" TargetMode="External" /><Relationship Type="http://schemas.openxmlformats.org/officeDocument/2006/relationships/hyperlink" Id="rId14" Target="https://doi.org/10.1163/15728536-06101003" TargetMode="External" /></Relationships>
</file>

<file path=word/_rels/footnotes.xml.rels><?xml version="1.0" encoding="UTF-8"?><Relationships xmlns="http://schemas.openxmlformats.org/package/2006/relationships"><Relationship Type="http://schemas.openxmlformats.org/officeDocument/2006/relationships/hyperlink" Id="rId15" Target="https://brill.com/view/journals/iij/61/1/article-p20_2.xml" TargetMode="External" /><Relationship Type="http://schemas.openxmlformats.org/officeDocument/2006/relationships/hyperlink" Id="rId13" Target="https://dharmalekha.info/bibliography/entry/Cousins2001_01" TargetMode="External" /><Relationship Type="http://schemas.openxmlformats.org/officeDocument/2006/relationships/hyperlink" Id="rId9" Target="https://dharmalekha.info/bibliography/entry/Sircar1961-1962_03" TargetMode="External" /><Relationship Type="http://schemas.openxmlformats.org/officeDocument/2006/relationships/hyperlink" Id="rId11" Target="https://dharmalekha.info/texts/INSEIAD00020" TargetMode="External" /><Relationship Type="http://schemas.openxmlformats.org/officeDocument/2006/relationships/hyperlink" Id="rId14" Target="https://doi.org/10.1163/15728536-06101003" TargetMode="Externa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45</TotalTime>
  <Application>LibreOffice/26.2.6.3$Linux_X86_64 LibreOffice_project/620$Build-3</Application>
  <AppVersion>15.0000</AppVersion>
  <Pages>2</Pages>
  <Words>60</Words>
  <Characters>366</Characters>
  <CharactersWithSpaces>396</CharactersWithSpaces>
  <Paragraphs>30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EIAD 69. Maṇḍapa pillar from site 12 at Nagarjunakonda</dc:title>
  <dc:creator>Arlo Griffiths and Vincent Tournier</dc:creator>
  <cp:keywords/>
  <dcterms:created xsi:type="dcterms:W3CDTF">2026-11-06T17:53:14Z</dcterms:created>
  <dcterms:modified xsi:type="dcterms:W3CDTF">2026-11-06T17:53:14Z</dcterms:modified>
</cp:coreProperties>
</file>

<file path=docProps/custom.xml><?xml version="1.0" encoding="utf-8"?>
<Properties xmlns="http://schemas.openxmlformats.org/officeDocument/2006/custom-properties" xmlns:vt="http://schemas.openxmlformats.org/officeDocument/2006/docPropsVTypes"/>
</file>