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Cīrkāḻi,</w:t>
      </w:r>
      <w:r>
        <w:t xml:space="preserve"> </w:t>
      </w:r>
      <w:r>
        <w:t xml:space="preserve">Brahmapurīśvara,</w:t>
      </w:r>
      <w:r>
        <w:t xml:space="preserve"> </w:t>
      </w:r>
      <w:r>
        <w:t xml:space="preserve">time</w:t>
      </w:r>
      <w:r>
        <w:t xml:space="preserve"> </w:t>
      </w:r>
      <w:r>
        <w:t xml:space="preserve">of</w:t>
      </w:r>
      <w:r>
        <w:t xml:space="preserve"> </w:t>
      </w:r>
      <w:r>
        <w:t xml:space="preserve">Vīrarājendra,</w:t>
      </w:r>
      <w:r>
        <w:t xml:space="preserve"> </w:t>
      </w:r>
      <w:r>
        <w:t xml:space="preserve">year</w:t>
      </w:r>
      <w:r>
        <w:t xml:space="preserve"> </w:t>
      </w:r>
      <w:r>
        <w:t xml:space="preserve">6</w:t>
      </w:r>
    </w:p>
    <w:p>
      <w:pPr>
        <w:pStyle w:val="Author"/>
      </w:pPr>
      <w:r>
        <w:t xml:space="preserve">Uthaya</w:t>
      </w:r>
      <w:r>
        <w:t xml:space="preserve"> </w:t>
      </w:r>
      <w:r>
        <w:t xml:space="preserve">Veluppillai</w:t>
      </w:r>
      <w:r>
        <w:t xml:space="preserve"> </w:t>
      </w:r>
      <w:r>
        <w:t xml:space="preserve">and</w:t>
      </w:r>
      <w:r>
        <w:t xml:space="preserve"> </w:t>
      </w:r>
      <w:r>
        <w:t xml:space="preserve">Emmanuel</w:t>
      </w:r>
      <w:r>
        <w:t xml:space="preserve"> </w:t>
      </w:r>
      <w:r>
        <w:t xml:space="preserve">Francis</w:t>
      </w:r>
    </w:p>
    <w:p>
      <w:pPr>
        <w:pStyle w:val="FirstParagraph"/>
      </w:pPr>
      <w:r>
        <w:t xml:space="preserve">Identifier: DHARMA_INSCirkali00032</w:t>
      </w:r>
    </w:p>
    <w:p>
      <w:pPr>
        <w:pStyle w:val="BodyText"/>
      </w:pPr>
      <w:r>
        <w:t xml:space="preserve">Repository: Cīrkāḻi (tfa-cirkali-epigraphy)</w:t>
      </w:r>
    </w:p>
    <w:p>
      <w:pPr>
        <w:pStyle w:val="BodyText"/>
      </w:pPr>
      <w:r>
        <w:t xml:space="preserve">Commit: 2026-09-29 11:09 (9417b16), last modified 2026-09-29 11:09 (9417b16)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...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Cs/>
          <w:i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ē</w:t>
      </w:r>
      <w:r>
        <w:t xml:space="preserve">, nor between</w:t>
      </w:r>
      <w:r>
        <w:t xml:space="preserve"> </w:t>
      </w:r>
      <w:r>
        <w:rPr>
          <w:iCs/>
          <w:i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⟨Zone A: First Base Portion⟩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tiri-puvaṉa-cakkara-va</w:t>
      </w:r>
      <w:r>
        <w:rPr>
          <w:rStyle w:val="ColorBlue"/>
        </w:rPr>
        <w:t xml:space="preserve">⟨r⟩</w:t>
      </w:r>
      <w:r>
        <w:t xml:space="preserve">ttikaḷ</w:t>
      </w:r>
      <w:r>
        <w:t xml:space="preserve"> </w:t>
      </w:r>
      <w:r>
        <w:rPr>
          <w:bCs/>
          <w:b/>
        </w:rPr>
        <w:t xml:space="preserve">śrī</w:t>
      </w:r>
      <w:r>
        <w:t xml:space="preserve">-v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ra-rācēntira-[tē]vaṟku yāṇṭu Āṟ-ā</w:t>
      </w:r>
      <w:r>
        <w:rPr>
          <w:rStyle w:val="ColorGray"/>
        </w:rPr>
        <w:t xml:space="preserve">⟨2⟩</w:t>
      </w:r>
      <w:r>
        <w:t xml:space="preserve">vatu mīṉa-nāyaṟṟu A</w:t>
      </w:r>
      <w:r>
        <w:rPr>
          <w:bCs/>
          <w:b/>
        </w:rPr>
        <w:t xml:space="preserve">para-pakṣa</w:t>
      </w:r>
      <w:r>
        <w:t xml:space="preserve">ttu ti[vi]tiyaiyum vi</w:t>
      </w:r>
      <w:r>
        <w:rPr>
          <w:rStyle w:val="ColorGray"/>
        </w:rPr>
        <w:t xml:space="preserve">⟨3⟩</w:t>
      </w:r>
      <w:r>
        <w:t xml:space="preserve">yāḻa-k-kiḻamaiyum peṟṟa citti(r)ai-(n)āḷ</w:t>
      </w:r>
    </w:p>
    <w:p>
      <w:pPr>
        <w:pStyle w:val="BodyText"/>
      </w:pPr>
      <w:r>
        <w:t xml:space="preserve">Irā</w:t>
      </w:r>
      <w:r>
        <w:rPr>
          <w:bCs/>
          <w:b/>
        </w:rPr>
        <w:t xml:space="preserve">jādh(i)</w:t>
      </w:r>
      <w:r>
        <w:rPr>
          <w:rStyle w:val="ColorGray"/>
        </w:rPr>
        <w:t xml:space="preserve">⟨4⟩</w:t>
      </w:r>
      <w:r>
        <w:t xml:space="preserve">rā</w:t>
      </w:r>
      <w:r>
        <w:rPr>
          <w:bCs/>
          <w:b/>
        </w:rPr>
        <w:t xml:space="preserve">ja</w:t>
      </w:r>
      <w:r>
        <w:t xml:space="preserve">-vaḷanāṭṭu-t tiru-k-kaḻumala-n[ā]ṭṭu</w:t>
      </w:r>
      <w:r>
        <w:t xml:space="preserve"> </w:t>
      </w:r>
      <w:r>
        <w:rPr>
          <w:rStyle w:val="ColorMagenta"/>
          <w:bCs/>
          <w:b/>
        </w:rPr>
        <w:t xml:space="preserve">¡bama!</w:t>
      </w:r>
      <w:r>
        <w:rPr>
          <w:rStyle w:val="ColorBlue"/>
          <w:bCs/>
          <w:b/>
        </w:rPr>
        <w:t xml:space="preserve">⟨brahma⟩</w:t>
      </w:r>
      <w:r>
        <w:rPr>
          <w:bCs/>
          <w:b/>
        </w:rPr>
        <w:t xml:space="preserve">de</w:t>
      </w:r>
      <w:r>
        <w:t xml:space="preserve">yam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tiru-k-kaḻuma⟨⟨la⟩⟩ttu Āḷuṭaiya-piḷḷaiyār t[ē]va-kaṉmikaḷōm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kulōttuṅka-cōḻa-vaḷanāṭṭu tiru-na[ṟ]aiyūr-nāṭṭu vēḷ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vēḷ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r kiḻavaṉ Utaiyañ-ceytāṉ [c]en-tāmarai-k-kaṇṇa</w:t>
      </w:r>
      <w:r>
        <w:rPr>
          <w:rStyle w:val="ColorGray"/>
        </w:rPr>
        <w:t xml:space="preserve">⟨Zone B: Second Base Portion⟩</w:t>
      </w:r>
      <w:r>
        <w:rPr>
          <w:rStyle w:val="ColorGray"/>
        </w:rPr>
        <w:t xml:space="preserve">⟨8⟩</w:t>
      </w:r>
      <w:r>
        <w:t xml:space="preserve">ṉ-āṉa ticai-viḷaṅku-cōḻa-viḻupparaiyaṉukku nila-p parivattaṇai paṇṇ(i)ṉa paṭi y-āvatu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It-tēvar tēvataṉam tiru-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āṉa-campanta-maṅkalattu tē(va)r kāṇi-y-āy Aṭai muta[l ko]ḷḷum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nilattu cutta-mali-vat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kku kiḻāku Irā</w:t>
      </w:r>
      <w:r>
        <w:rPr>
          <w:bCs/>
          <w:b/>
        </w:rPr>
        <w:t xml:space="preserve">je</w:t>
      </w:r>
      <w:r>
        <w:t xml:space="preserve">ntira-cōḻa-vāy(k)kālukku vaṭakku 2 &lt;kaṇṇāṟu&gt; 1 catirattu naṭuvi[ṟ pu]ṟam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paḷḷam 𑿦 * * * * * * * Itaṉ mēṟku taṭar 𑿦 * * * 10 4vum Ivaṉukku 𑿕kku 𑿕m Anta[rā]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yam Iṟukka-k kāṇi-y-āka kuṭuttu Itukku-t talai-[mā]ṟu vēḷ-kāṉi-y-āy 𑿕kku nellum Anta[rā]⟨yam⟩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Iṟukkiṟa nilattu I⟨v⟩-vatikku kiḻakku Iv-vā⟨y⟩kkālukku vaṭāku 2 &lt;kaṇṇāṟu&gt; 2 catirattu teṟkil pōṉa ceva [2+]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viḷai 𑿦 * ** m taṭar 𑿦 * * * * 𑿦 * I</w:t>
      </w:r>
      <w:r>
        <w:rPr>
          <w:rStyle w:val="ColorMagenta"/>
        </w:rPr>
        <w:t xml:space="preserve">¡ṉ-ṉ!</w:t>
      </w:r>
      <w:r>
        <w:rPr>
          <w:rStyle w:val="ColorBlue"/>
        </w:rPr>
        <w:t xml:space="preserve">⟨n-n⟩</w:t>
      </w:r>
      <w:r>
        <w:t xml:space="preserve">ilam Iraṇṭu māv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⟨u⟩</w:t>
      </w:r>
      <w:r>
        <w:t xml:space="preserve">m tēvar-kāṇi-p paṟṟ-āṉa ni[la]ttu 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⟨4⟩</w:t>
      </w:r>
      <w:r>
        <w:t xml:space="preserve"> </w:t>
      </w:r>
      <w:r>
        <w:rPr>
          <w:rStyle w:val="ColorMagenta"/>
          <w:bCs/>
          <w:b/>
        </w:rPr>
        <w:t xml:space="preserve">¡bama!</w:t>
      </w:r>
      <w:r>
        <w:rPr>
          <w:rStyle w:val="ColorBlue"/>
          <w:bCs/>
          <w:b/>
        </w:rPr>
        <w:t xml:space="preserve">⟨brahma⟩</w:t>
      </w:r>
      <w:r>
        <w:rPr>
          <w:bCs/>
          <w:b/>
        </w:rPr>
        <w:t xml:space="preserve">de</w:t>
      </w:r>
      <w:r>
        <w:t xml:space="preserve">yam ⬦</w:t>
      </w:r>
      <w:r>
        <w:t xml:space="preserve"> </w:t>
      </w:r>
      <w:r>
        <w:rPr>
          <w:rStyle w:val="ColorGreen"/>
          <w:bCs/>
          <w:b/>
          <w:iCs/>
          <w:i/>
        </w:rPr>
        <w:t xml:space="preserve">baimadaya</w:t>
      </w:r>
      <w:r>
        <w:rPr>
          <w:rStyle w:val="ColorGreen"/>
          <w:iCs/>
          <w:i/>
        </w:rPr>
        <w:t xml:space="preserve">m</w:t>
      </w:r>
      <w:r>
        <w:t xml:space="preserve"> </w:t>
      </w:r>
      <w:r>
        <w:t xml:space="preserve">UV.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Sixth year of the glorious king Vīrarājendra, the emperor of the three worlds, ...</w:t>
      </w:r>
    </w:p>
    <w:p>
      <w:pPr>
        <w:pStyle w:val="BodyText"/>
      </w:pPr>
      <w:r>
        <w:rPr>
          <w:rStyle w:val="ColorGray"/>
        </w:rPr>
        <w:t xml:space="preserve">⟨2–8⟩</w:t>
      </w:r>
      <w:r>
        <w:t xml:space="preserve"> </w:t>
      </w:r>
      <w:r>
        <w:t xml:space="preserve">This is the manner in which ... made a change ⟨</w:t>
      </w:r>
      <w:r>
        <w:rPr>
          <w:iCs/>
          <w:i/>
        </w:rPr>
        <w:t xml:space="preserve">parivattaṇai</w:t>
      </w:r>
      <w:r>
        <w:t xml:space="preserve">⟩ 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1918–19 (ARIE/1918-1919/B/1918/376).</w:t>
      </w:r>
    </w:p>
    <w:p>
      <w:pPr>
        <w:pStyle w:val="BodyText"/>
      </w:pPr>
      <w:r>
        <w:t xml:space="preserve">Edited, with summary, in Veluppillai 2013 (CEC 32), based on autopsy and photos (G. Ravindran, EFEO, 2005).</w:t>
      </w:r>
    </w:p>
    <w:p>
      <w:pPr>
        <w:pStyle w:val="BodyText"/>
      </w:pPr>
      <w:r>
        <w:t xml:space="preserve">This edition by Uthaya Veluppillai (2024). Curated by Emmanuel Francis. Translation (2024)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[UV]</w:t>
      </w:r>
      <w:r>
        <w:t xml:space="preserve"> </w:t>
      </w:r>
      <w:r>
        <w:t xml:space="preserve">Veluppillai, Uthaya. 2013. “Cikāḻi : hymnes, héros, histoire. Rayonnement d’un lieu saint shivaïte au Pays Tamoul.” These de doctorat, Paris 3. Paris.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Pages 318–320, item 32.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1918–19.</w:t>
      </w:r>
      <w:r>
        <w:t xml:space="preserve"> </w:t>
      </w:r>
      <w:r>
        <w:rPr>
          <w:iCs/>
          <w:i/>
        </w:rPr>
        <w:t xml:space="preserve">G.O. No. 1003, 16th August 1919. Epigraphy. Recording, with remarks, the progress report of the Assistant Archaeological Superintendent for epigraphy, Southern Circle, for the year 1918-1919</w:t>
      </w:r>
      <w:r>
        <w:t xml:space="preserve">. Edited by H. Krishna Sastri. No place, 1919. Page 32, appendix B/1918, item 376.</w:t>
      </w:r>
    </w:p>
    <w:p>
      <w:pPr>
        <w:pStyle w:val="BodyText"/>
      </w:pPr>
      <w:r>
        <w:t xml:space="preserve">Mahalingam, T. V. 1992.</w:t>
      </w:r>
      <w:r>
        <w:t xml:space="preserve"> </w:t>
      </w:r>
      <w:r>
        <w:rPr>
          <w:iCs/>
          <w:i/>
        </w:rPr>
        <w:t xml:space="preserve">A topographical list of inscriptions in the Tamil Nadu and Kerala states. Volume Seven: Thanjavur district.</w:t>
      </w:r>
      <w:r>
        <w:t xml:space="preserve"> </w:t>
      </w:r>
      <w:r>
        <w:t xml:space="preserve">New Delhi: ICHR. Page 549, item Tj. 2409.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theses.fr/2013PA030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theses.fr/2013PA03005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Cīrkāḻi, Brahmapurīśvara, time of Vīrarājendra, year 6</dc:title>
  <dc:creator>Uthaya Veluppillai and Emmanuel Francis</dc:creator>
  <cp:keywords/>
  <dcterms:created xsi:type="dcterms:W3CDTF">2026-09-30T05:38:12Z</dcterms:created>
  <dcterms:modified xsi:type="dcterms:W3CDTF">2026-09-30T05:38:12Z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