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Cīrkāḻi, Brahmapurīśvara, time of Kr̥ṣṇa Deva Rāya, Śaka year 1433</w:t>
      </w:r>
    </w:p>
    <w:p>
      <w:pPr>
        <w:pStyle w:val="Author"/>
      </w:pPr>
      <w:r>
        <w:t xml:space="preserve">Uthaya Veluppillai and Emmanuel Francis</w:t>
      </w:r>
    </w:p>
    <w:p>
      <w:pPr>
        <w:pStyle w:val="FirstParagraph"/>
      </w:pPr>
      <w:r>
        <w:t xml:space="preserve">Authors of digital edition: Uthaya Veluppillai, Emmanuel Francis</w:t>
      </w:r>
    </w:p>
    <w:p>
      <w:pPr>
        <w:pStyle w:val="BodyText"/>
      </w:pPr>
      <w:r>
        <w:t xml:space="preserve">Identifier: DHARMA_INSCirkali00021</w:t>
      </w:r>
    </w:p>
    <w:p>
      <w:pPr>
        <w:pStyle w:val="BodyText"/>
      </w:pPr>
      <w:r>
        <w:t xml:space="preserve">Repository: Cīrkāḻi (tfa-cirkali-epigraphy)</w:t>
      </w:r>
    </w:p>
    <w:p>
      <w:pPr>
        <w:pStyle w:val="BodyText"/>
      </w:pPr>
      <w:r>
        <w:t xml:space="preserve">File path: DHARMA_INSCirkali00021.xml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2026-10-19 18:41 (9ff78b7), last modified 2026-09-29 11:09 (9417b16)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...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No distinction between</w:t>
      </w:r>
      <w:r>
        <w:t xml:space="preserve"> </w:t>
      </w:r>
      <w:r>
        <w:rPr>
          <w:i/>
          <w:iCs/>
        </w:rPr>
        <w:t xml:space="preserve">e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ē</w:t>
      </w:r>
      <w:r>
        <w:t xml:space="preserve">, nor between</w:t>
      </w:r>
      <w:r>
        <w:t xml:space="preserve"> </w:t>
      </w:r>
      <w:r>
        <w:rPr>
          <w:i/>
          <w:iCs/>
        </w:rPr>
        <w:t xml:space="preserve">o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ō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</w:t>
      </w:r>
    </w:p>
    <w:p>
      <w:pPr>
        <w:pStyle w:val="BodyText"/>
      </w:pPr>
      <w:r>
        <w:rPr>
          <w:b/>
          <w:bCs/>
        </w:rPr>
        <w:t xml:space="preserve">śrīman· mahā-maṇḍalīśvaran· harihara-rāya-vipāṭan·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pā</w:t>
      </w:r>
      <w:r>
        <w:rPr>
          <w:b/>
          <w:bCs/>
        </w:rPr>
        <w:t xml:space="preserve">ṣai</w:t>
      </w:r>
      <w:r>
        <w:t xml:space="preserve">kku-t tappu-v-a</w:t>
      </w:r>
      <w:r>
        <w:rPr>
          <w:b/>
          <w:bCs/>
        </w:rPr>
        <w:t xml:space="preserve">rā</w:t>
      </w:r>
      <w:r>
        <w:t xml:space="preserve">yar kaṇṭaṉ kaṇṭa-nāṭu ko</w:t>
      </w:r>
      <w:r>
        <w:rPr>
          <w:b/>
          <w:bCs/>
        </w:rPr>
        <w:t xml:space="preserve">ṇḍu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koṇṭa-nāṭu ko</w:t>
      </w:r>
      <w:r>
        <w:rPr>
          <w:b/>
          <w:bCs/>
        </w:rPr>
        <w:t xml:space="preserve">ṭā</w:t>
      </w:r>
      <w:r>
        <w:t xml:space="preserve">kā</w:t>
      </w:r>
      <w:r>
        <w:rPr>
          <w:b/>
          <w:bCs/>
        </w:rPr>
        <w:t xml:space="preserve">n· pūrvva-dakṣ</w:t>
      </w:r>
      <w:r>
        <w:rPr>
          <w:rStyle w:val="ColorRed"/>
          <w:b/>
          <w:bCs/>
        </w:rPr>
        <w:t xml:space="preserve">¿a?</w:t>
      </w:r>
      <w:r>
        <w:rPr>
          <w:rStyle w:val="ColorGreen"/>
          <w:b/>
          <w:bCs/>
        </w:rPr>
        <w:t xml:space="preserve">⟨i⟩</w:t>
      </w:r>
      <w:r>
        <w:t xml:space="preserve">ṇa-</w:t>
      </w:r>
      <w:r>
        <w:rPr>
          <w:b/>
          <w:bCs/>
        </w:rPr>
        <w:t xml:space="preserve">pa</w:t>
      </w:r>
      <w:r>
        <w:rPr>
          <w:rStyle w:val="ColorRed"/>
          <w:b/>
          <w:bCs/>
        </w:rPr>
        <w:t xml:space="preserve">¿cś?</w:t>
      </w:r>
      <w:r>
        <w:rPr>
          <w:rStyle w:val="ColorGreen"/>
          <w:b/>
          <w:bCs/>
        </w:rPr>
        <w:t xml:space="preserve">⟨śc⟩</w:t>
      </w:r>
      <w:r>
        <w:rPr>
          <w:b/>
          <w:bCs/>
        </w:rPr>
        <w:t xml:space="preserve">ima</w:t>
      </w:r>
      <w:r>
        <w:rPr>
          <w:rStyle w:val="ColorGray"/>
        </w:rPr>
        <w:t xml:space="preserve">⟨4⟩</w:t>
      </w:r>
      <w:r>
        <w:t xml:space="preserve">-Utta</w:t>
      </w:r>
      <w:r>
        <w:rPr>
          <w:b/>
          <w:bCs/>
        </w:rPr>
        <w:t xml:space="preserve">ra-catu-samudrādi</w:t>
      </w:r>
      <w:r>
        <w:t xml:space="preserve">pati c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rPr>
          <w:rStyle w:val="ColorMagenta"/>
        </w:rPr>
        <w:t xml:space="preserve">¡ṟ!</w:t>
      </w:r>
      <w:r>
        <w:rPr>
          <w:rStyle w:val="ColorBlue"/>
        </w:rPr>
        <w:t xml:space="preserve">⟨r⟩</w:t>
      </w:r>
      <w:r>
        <w:t xml:space="preserve">-vīra-p-pi</w:t>
      </w:r>
      <w:r>
        <w:rPr>
          <w:rStyle w:val="ColorMagenta"/>
        </w:rPr>
        <w:t xml:space="preserve">¡ṟ!</w:t>
      </w:r>
      <w:r>
        <w:rPr>
          <w:rStyle w:val="ColorBlue"/>
        </w:rPr>
        <w:t xml:space="preserve">⟨r⟩</w:t>
      </w:r>
      <w:r>
        <w:t xml:space="preserve">atā</w:t>
      </w:r>
      <w:r>
        <w:rPr>
          <w:b/>
          <w:bCs/>
        </w:rPr>
        <w:t xml:space="preserve">pa</w:t>
      </w:r>
      <w:r>
        <w:t xml:space="preserve">-kiṟuṭṭaṇa</w:t>
      </w:r>
      <w:r>
        <w:rPr>
          <w:rStyle w:val="ColorGray"/>
        </w:rPr>
        <w:t xml:space="preserve">⟨5⟩</w:t>
      </w:r>
      <w:r>
        <w:t xml:space="preserve">tēva-mak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-Irācā-piṟiti⟨vi⟩-Irācciyam paṇṇi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Aruḷā niṉṟa cakāttam 1000 4 100 3 10 3 mēl cellā □ niṉṟa piṟacāpati-ca</w:t>
      </w:r>
      <w:r>
        <w:rPr>
          <w:rStyle w:val="ColorMagenta"/>
        </w:rPr>
        <w:t xml:space="preserve">¡ṅ!</w:t>
      </w:r>
      <w:r>
        <w:rPr>
          <w:rStyle w:val="ColorBlue"/>
        </w:rPr>
        <w:t xml:space="preserve">⟨m⟩</w:t>
      </w:r>
      <w:r>
        <w:t xml:space="preserve">va</w:t>
      </w:r>
      <w:r>
        <w:rPr>
          <w:rStyle w:val="ColorGray"/>
        </w:rPr>
        <w:t xml:space="preserve">⟨7⟩</w:t>
      </w:r>
      <w:r>
        <w:rPr>
          <w:rStyle w:val="ColorRed"/>
        </w:rPr>
        <w:t xml:space="preserve">¿cata?</w:t>
      </w:r>
      <w:r>
        <w:rPr>
          <w:rStyle w:val="ColorGreen"/>
        </w:rPr>
        <w:t xml:space="preserve">⟨cca⟩</w:t>
      </w:r>
      <w:r>
        <w:t xml:space="preserve">[ra]ttu mē</w:t>
      </w:r>
      <w:r>
        <w:rPr>
          <w:b/>
          <w:bCs/>
        </w:rPr>
        <w:t xml:space="preserve">ṣa</w:t>
      </w:r>
      <w:r>
        <w:t xml:space="preserve">-nāyaṟṟu pūṟuva-pa</w:t>
      </w:r>
      <w:r>
        <w:rPr>
          <w:b/>
          <w:bCs/>
        </w:rPr>
        <w:t xml:space="preserve">kṣa</w:t>
      </w:r>
      <w:r>
        <w:t xml:space="preserve">ttu tiṟutiyaiyum pe(ṟṟa) cukkiṟa-vāramum Acuvati</w:t>
      </w:r>
      <w:r>
        <w:rPr>
          <w:rStyle w:val="ColorGray"/>
        </w:rPr>
        <w:t xml:space="preserve">⟨8⟩</w:t>
      </w:r>
      <w:r>
        <w:t xml:space="preserve">-na</w:t>
      </w:r>
      <w:r>
        <w:rPr>
          <w:b/>
          <w:bCs/>
        </w:rPr>
        <w:t xml:space="preserve">kṣatra</w:t>
      </w:r>
      <w:r>
        <w:t xml:space="preserve">ttu nāḷ</w:t>
      </w:r>
    </w:p>
    <w:p>
      <w:pPr>
        <w:pStyle w:val="BodyText"/>
      </w:pPr>
      <w:r>
        <w:t xml:space="preserve">ceyaṅ-koṇṭa-cōḻa-maṇṭalam-āṉa toṇṭai-maṇṭalattu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kāli[yūr-kōṭṭa]ttu [1+] livaṉa [4+] ūr [4+] maru […] ntaṟa-cōḻa-catuvēti-maṇṭalattu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Ūr-kaṇakku mācaṉa-p-piriyar va [1+] unayiṉūr puttiraṉ komāṇaṟku cōḻa-maṇṭalattu Irācā</w:t>
      </w:r>
      <w:r>
        <w:rPr>
          <w:rStyle w:val="ColorGray"/>
        </w:rPr>
        <w:t xml:space="preserve">⟨11⟩</w:t>
      </w:r>
      <w:r>
        <w:t xml:space="preserve">tirāca-vaḷanāṭṭu tiru-k-kaḻumalattu cī-kāli-mutaliyār tāṉattārum nilamum maṇai yum vilai-p-pira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māṇam paṇṇīk kuṭutta paṭi maṇai Oṉṟukku [1+] llai Āvatu</w:t>
      </w:r>
    </w:p>
    <w:p>
      <w:pPr>
        <w:pStyle w:val="BodyText"/>
      </w:pPr>
      <w:r>
        <w:t xml:space="preserve">tiru-k-kaḻumalattil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Irācākkaḷ tampirāṉ tiru-viti teru mēl-tuṇṭattil teṉ-ci[ṟā]kilē mēṟk’ aṭaiya k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ḻ mēl</w:t>
      </w:r>
      <w:r>
        <w:rPr>
          <w:rStyle w:val="ColorGray"/>
        </w:rPr>
        <w:t xml:space="preserve">⟨14⟩</w:t>
      </w:r>
      <w:r>
        <w:t xml:space="preserve">-kolam-uṭaiyāṉ [6+] kku maṇai Oṉṟu nila-vēlikku tiru-kaḻumalattil nilam kālacaṅkaṉa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paṭṭil aṟamaṉa […] Oṉṟu te Āka 𑿦 1 𑿣 maṇai 1</w:t>
      </w:r>
    </w:p>
    <w:p>
      <w:pPr>
        <w:pStyle w:val="BodyText"/>
      </w:pPr>
      <w:r>
        <w:t xml:space="preserve">Inta nilam vēlikkum maṇai Oṉṟukkum vilai Āka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niṉṟai paṭi paṇṇiṉa poṉ pattu</w:t>
      </w:r>
    </w:p>
    <w:p>
      <w:pPr>
        <w:pStyle w:val="BodyText"/>
      </w:pPr>
      <w:r>
        <w:t xml:space="preserve">Inta-p poṉ pattukku maṇai Oṉṟum nilam vēliyum vilai Ākavum</w:t>
      </w:r>
    </w:p>
    <w:p>
      <w:pPr>
        <w:pStyle w:val="BodyText"/>
      </w:pPr>
      <w:r>
        <w:t xml:space="preserve">Inta maṇai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Oṉṟum nilam vēliyum nāyaṉār periya-nāyaṉārkkum nāyaṉār [5+] rāṇṟkum ta</w:t>
      </w:r>
      <w:r>
        <w:rPr>
          <w:rStyle w:val="ColorMagenta"/>
        </w:rPr>
        <w:t xml:space="preserve">¡mm!</w:t>
      </w:r>
      <w:r>
        <w:rPr>
          <w:rStyle w:val="ColorBlue"/>
        </w:rPr>
        <w:t xml:space="preserve">⟨m⟩</w:t>
      </w:r>
      <w:r>
        <w:t xml:space="preserve">-uṭaiya taṉ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[17+] ḷ [1+] lakkaikku [5+] caittapaṭiyā(pa)la puṟavari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māṉiyam-āka [Inta taṉmam canti]rātitta-varaiyum naṭakka-k kaṭava [12+] matattu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nilamu maṇaiyum vilai-p-piramāṇam paṇṇi-k kuṭutta [6+] [ṇarkku kāḻimuta]liyār tāṉ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tāṉattārōm</w:t>
      </w:r>
    </w:p>
    <w:p>
      <w:pPr>
        <w:pStyle w:val="BodyText"/>
      </w:pPr>
      <w:r>
        <w:t xml:space="preserve">vātuceytavāraṇa-p-pira[mar eḻuttu]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Prosperity!</w:t>
      </w:r>
    </w:p>
    <w:p>
      <w:pPr>
        <w:pStyle w:val="BodyText"/>
      </w:pPr>
      <w:r>
        <w:rPr>
          <w:rStyle w:val="ColorGray"/>
        </w:rPr>
        <w:t xml:space="preserve">⟨1–8⟩</w:t>
      </w:r>
      <w:r>
        <w:t xml:space="preserve"> </w:t>
      </w:r>
      <w:r>
        <w:t xml:space="preserve">In the day of the</w:t>
      </w:r>
      <w:r>
        <w:t xml:space="preserve"> </w:t>
      </w:r>
      <w:r>
        <w:rPr>
          <w:i/>
          <w:iCs/>
        </w:rPr>
        <w:t xml:space="preserve">nakṣatra</w:t>
      </w:r>
      <w:r>
        <w:t xml:space="preserve"> </w:t>
      </w:r>
      <w:r>
        <w:t xml:space="preserve">Acuvati, a Friday, which coincides with ... which was current upon Śaka 1413, when the glorious ... the glorious heroic and majestuous Lord Kiṟuṭṭaṇa</w:t>
      </w:r>
      <w:r>
        <w:rPr>
          <w:rStyle w:val="FootnoteReference"/>
        </w:rPr>
        <w:footnoteReference w:id="9"/>
      </w:r>
      <w:r>
        <w:t xml:space="preserve"> </w:t>
      </w:r>
      <w:r>
        <w:t xml:space="preserve">Mahārāja was currently ruling the earth.</w:t>
      </w:r>
    </w:p>
    <w:p>
      <w:pPr>
        <w:pStyle w:val="BodyText"/>
      </w:pPr>
      <w:r>
        <w:rPr>
          <w:rStyle w:val="ColorGray"/>
        </w:rPr>
        <w:t xml:space="preserve">⟨8–12⟩</w:t>
      </w:r>
      <w:r>
        <w:t xml:space="preserve"> </w:t>
      </w:r>
      <w:r>
        <w:t xml:space="preserve">... having made a sale document ... the boundaries are ⟨as follows⟩:</w:t>
      </w:r>
    </w:p>
    <w:p>
      <w:pPr>
        <w:pStyle w:val="BodyText"/>
      </w:pPr>
      <w:r>
        <w:rPr>
          <w:rStyle w:val="ColorGray"/>
        </w:rPr>
        <w:t xml:space="preserve">⟨13–15⟩</w:t>
      </w:r>
      <w:r>
        <w:t xml:space="preserve"> </w:t>
      </w:r>
      <w:r>
        <w:t xml:space="preserve">So that there be (</w:t>
      </w:r>
      <w:r>
        <w:rPr>
          <w:i/>
          <w:iCs/>
        </w:rPr>
        <w:t xml:space="preserve">āka</w:t>
      </w:r>
      <w:r>
        <w:t xml:space="preserve">) ...</w:t>
      </w:r>
    </w:p>
    <w:p>
      <w:pPr>
        <w:pStyle w:val="BodyText"/>
      </w:pPr>
      <w:r>
        <w:rPr>
          <w:rStyle w:val="ColorGray"/>
        </w:rPr>
        <w:t xml:space="preserve">⟨15–16⟩</w:t>
      </w:r>
      <w:r>
        <w:t xml:space="preserve"> </w:t>
      </w:r>
      <w:r>
        <w:t xml:space="preserve">So that there be (</w:t>
      </w:r>
      <w:r>
        <w:rPr>
          <w:i/>
          <w:iCs/>
        </w:rPr>
        <w:t xml:space="preserve">āka</w:t>
      </w:r>
      <w:r>
        <w:t xml:space="preserve">) ...</w:t>
      </w:r>
    </w:p>
    <w:p>
      <w:pPr>
        <w:pStyle w:val="BodyText"/>
      </w:pPr>
      <w:r>
        <w:rPr>
          <w:rStyle w:val="ColorGray"/>
        </w:rPr>
        <w:t xml:space="preserve">⟨16⟩</w:t>
      </w:r>
      <w:r>
        <w:t xml:space="preserve"> </w:t>
      </w:r>
      <w:r>
        <w:t xml:space="preserve">There should be (</w:t>
      </w:r>
      <w:r>
        <w:rPr>
          <w:i/>
          <w:iCs/>
        </w:rPr>
        <w:t xml:space="preserve">ākavum</w:t>
      </w:r>
      <w:r>
        <w:t xml:space="preserve">)...</w:t>
      </w:r>
    </w:p>
    <w:p>
      <w:pPr>
        <w:pStyle w:val="BodyText"/>
      </w:pPr>
      <w:r>
        <w:rPr>
          <w:rStyle w:val="ColorGray"/>
        </w:rPr>
        <w:t xml:space="preserve">⟨16–21⟩</w:t>
      </w:r>
      <w:r>
        <w:t xml:space="preserve"> </w:t>
      </w:r>
      <w:r>
        <w:t xml:space="preserve">... We, the trustees ...</w:t>
      </w:r>
    </w:p>
    <w:p>
      <w:pPr>
        <w:pStyle w:val="BodyText"/>
      </w:pPr>
      <w:r>
        <w:rPr>
          <w:rStyle w:val="ColorGray"/>
        </w:rPr>
        <w:t xml:space="preserve">⟨21⟩</w:t>
      </w:r>
      <w:r>
        <w:t xml:space="preserve"> </w:t>
      </w:r>
      <w:r>
        <w:t xml:space="preserve">These are the signature of ...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1918–19 (ARIE/1918-1919/B/1918/397).</w:t>
      </w:r>
    </w:p>
    <w:p>
      <w:pPr>
        <w:pStyle w:val="BodyText"/>
      </w:pPr>
      <w:r>
        <w:t xml:space="preserve">Edited, with summary, in Veluppillai 2013 (CEC 21), with the help of Dr. G. Vijayavenugopal (EFEO, Pondicherry), based on autopsy, photos (G. Ravindran, EFEO, 2005), and ASI transcript (consulted in Mysore).</w:t>
      </w:r>
    </w:p>
    <w:p>
      <w:pPr>
        <w:pStyle w:val="BodyText"/>
      </w:pPr>
      <w:r>
        <w:t xml:space="preserve">This edition by Uthaya Veluppillai (2024). Curated by Emmanuel Francis. Translation (2024)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t xml:space="preserve">Veluppillai, Uthaya. 2013. “Cikāḻi : hymnes, héros, histoire. Rayonnement d’un lieu saint shivaïte au Pays Tamoul.” These de doctorat, Paris 3. Paris.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 Pages 288–290, item 21.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1918–19.</w:t>
      </w:r>
      <w:r>
        <w:t xml:space="preserve"> </w:t>
      </w:r>
      <w:r>
        <w:rPr>
          <w:i/>
          <w:iCs/>
        </w:rPr>
        <w:t xml:space="preserve">G.O. No. 1003, 16th August 1919. Epigraphy. Recording, with remarks, the progress report of the Assistant Archaeological Superintendent for epigraphy, Southern Circle, for the year 1918-1919</w:t>
      </w:r>
      <w:r>
        <w:t xml:space="preserve">. Edited by H. Krishna Sastri. No place, 1919. Page 34, appendix B/1918, item 397.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Sanskrit Kr̥ṣṇa.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www.theses.fr/2013PA0300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www.theses.fr/2013PA03005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Cīrkāḻi, Brahmapurīśvara, time of Kr̥ṣṇa Deva Rāya, Śaka year 1433</dc:title>
  <dc:creator>Uthaya Veluppillai and Emmanuel Francis</dc:creator>
  <cp:keywords/>
  <dcterms:created xsi:type="dcterms:W3CDTF">2026-11-06T07:18:18Z</dcterms:created>
  <dcterms:modified xsi:type="dcterms:W3CDTF">2026-11-06T07:18:18Z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