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Pāccil-Kōpurappaṭṭi, Avanīśvara/Amalīśvara temple, time of Parakesarivarman, year 12</w:t>
      </w:r>
    </w:p>
    <w:p>
      <w:pPr>
        <w:pStyle w:val="Author"/>
      </w:pPr>
      <w:r>
        <w:t xml:space="preserve">Nicolas Cane and Emmanuel Francis</w:t>
      </w:r>
    </w:p>
    <w:p>
      <w:pPr>
        <w:pStyle w:val="FirstParagraph"/>
      </w:pPr>
      <w:r>
        <w:t xml:space="preserve">Authors of digital edition: Nicolas Cane, Emmanuel Francis</w:t>
      </w:r>
    </w:p>
    <w:p>
      <w:pPr>
        <w:pStyle w:val="BodyText"/>
      </w:pPr>
      <w:r>
        <w:t xml:space="preserve">Identifier: DHARMA_INSCempiyanMahadevi00009</w:t>
      </w:r>
    </w:p>
    <w:p>
      <w:pPr>
        <w:pStyle w:val="BodyText"/>
      </w:pPr>
      <w:r>
        <w:t xml:space="preserve">Repository: Cempiyaṉ Mahādevī (tfa-cempiyan-mahadevi-epigraphy)</w:t>
      </w:r>
    </w:p>
    <w:p>
      <w:pPr>
        <w:pStyle w:val="BodyText"/>
      </w:pPr>
      <w:r>
        <w:t xml:space="preserve">File path: DHARMA_INSCempiyanMahadevi00009.xml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2026-10-08 12:15 (8953cda), last modified 2026-09-29 11:08 (0117aa1)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Temple de Avanīśvara (Amalīśvara), face est du</w:t>
      </w:r>
      <w:r>
        <w:t xml:space="preserve"> </w:t>
      </w:r>
      <w:r>
        <w:rPr>
          <w:i/>
          <w:iCs/>
        </w:rPr>
        <w:t xml:space="preserve">garbhagr̥ha</w:t>
      </w:r>
      <w:r>
        <w:t xml:space="preserve"> </w:t>
      </w:r>
      <w:r>
        <w:t xml:space="preserve">(sur la face médiane du</w:t>
      </w:r>
      <w:r>
        <w:t xml:space="preserve"> </w:t>
      </w:r>
      <w:r>
        <w:rPr>
          <w:i/>
          <w:iCs/>
        </w:rPr>
        <w:t xml:space="preserve">tripaṭṭa-kumuda</w:t>
      </w:r>
      <w:r>
        <w:t xml:space="preserve">). Uttama Cōḻa = 982-83 CE.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No distinction between</w:t>
      </w:r>
      <w:r>
        <w:t xml:space="preserve"> </w:t>
      </w:r>
      <w:r>
        <w:rPr>
          <w:i/>
          <w:iCs/>
        </w:rPr>
        <w:t xml:space="preserve">e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ē</w:t>
      </w:r>
      <w:r>
        <w:t xml:space="preserve">, nor between</w:t>
      </w:r>
      <w:r>
        <w:t xml:space="preserve"> </w:t>
      </w:r>
      <w:r>
        <w:rPr>
          <w:i/>
          <w:iCs/>
        </w:rPr>
        <w:t xml:space="preserve">o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ō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⟨Zone 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</w:p>
    <w:p>
      <w:pPr>
        <w:pStyle w:val="BodyText"/>
      </w:pPr>
      <w:r>
        <w:t xml:space="preserve">kō-p-para-kēcari-paṉmaṟku yānṭu 10 2-Āvatu</w:t>
      </w:r>
    </w:p>
    <w:p>
      <w:pPr>
        <w:pStyle w:val="BodyText"/>
      </w:pPr>
      <w:r>
        <w:t xml:space="preserve">maḻa-nāṭṭu-p pāccil tiru-Avan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rPr>
          <w:b/>
          <w:bCs/>
        </w:rPr>
        <w:t xml:space="preserve">śva</w:t>
      </w:r>
      <w:r>
        <w:t xml:space="preserve">rattu</w:t>
      </w:r>
      <w:r>
        <w:t xml:space="preserve"> </w:t>
      </w:r>
      <w:r>
        <w:rPr>
          <w:b/>
          <w:bCs/>
        </w:rPr>
        <w:t xml:space="preserve">mahā-de</w:t>
      </w:r>
      <w:r>
        <w:t xml:space="preserve">vaṟku kaṇṭar-ātitta-perumāḷ tēvi</w:t>
      </w:r>
      <w:r>
        <w:rPr>
          <w:rStyle w:val="ColorGray"/>
        </w:rPr>
        <w:t xml:space="preserve">⟨Zone 2⟩</w:t>
      </w:r>
      <w:r>
        <w:t xml:space="preserve">yār cempiyaṉ</w:t>
      </w:r>
      <w:r>
        <w:t xml:space="preserve"> </w:t>
      </w:r>
      <w:r>
        <w:rPr>
          <w:b/>
          <w:bCs/>
        </w:rPr>
        <w:t xml:space="preserve">mahā</w:t>
      </w:r>
      <w:r>
        <w:t xml:space="preserve">tēviy(ār)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⟨Zone 1⟩</w:t>
      </w:r>
      <w:r>
        <w:rPr>
          <w:rStyle w:val="ColorGray"/>
        </w:rPr>
        <w:t xml:space="preserve"> </w:t>
      </w:r>
      <w:r>
        <w:t xml:space="preserve">vaitta tarā nilai-viḷakk’ oṉṟu niṟai mu-ṉ-ṉūṟṟu mu-p-pattu ⟨⟨nālu n⟩⟩iṟai Iru-nūṟṟu nāṟ-patu nilai-viḷakk’ o</w:t>
      </w:r>
      <w:r>
        <w:rPr>
          <w:rStyle w:val="ColorMagenta"/>
        </w:rPr>
        <w:t xml:space="preserve">¡n!</w:t>
      </w:r>
      <w:r>
        <w:rPr>
          <w:rStyle w:val="ColorBlue"/>
        </w:rPr>
        <w:t xml:space="preserve">⟨ṉ⟩</w:t>
      </w:r>
      <w:r>
        <w:t xml:space="preserve">ṟu niṟai nūṟ</w:t>
      </w:r>
      <w:r>
        <w:rPr>
          <w:rStyle w:val="ColorGray"/>
        </w:rPr>
        <w:t xml:space="preserve">⟨Zone 2⟩</w:t>
      </w:r>
      <w:r>
        <w:t xml:space="preserve">ṟu toṇṇūṟu nilai-vi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⟨Zone 1⟩</w:t>
      </w:r>
      <w:r>
        <w:t xml:space="preserve">ḷakk’ oṉṟu ni(ṟ)ai nūṟṟu toṇṇūṟu nilai-viḷakk’ oṉṟu ⟨ni⟩ṟai nūṟṟu toṇṇūṟu Ā⟨ka⟩ nilai-viḷakku Uru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⟨Zone 2⟩</w:t>
      </w:r>
      <w:r>
        <w:rPr>
          <w:rStyle w:val="ColorGray"/>
        </w:rPr>
        <w:t xml:space="preserve"> </w:t>
      </w:r>
      <w:r>
        <w:t xml:space="preserve">Añcu can</w:t>
      </w:r>
      <w:r>
        <w:rPr>
          <w:rStyle w:val="ColorMagenta"/>
          <w:b/>
          <w:bCs/>
        </w:rPr>
        <w:t xml:space="preserve">¡(t)!</w:t>
      </w:r>
      <w:r>
        <w:rPr>
          <w:rStyle w:val="ColorBlue"/>
          <w:b/>
          <w:bCs/>
        </w:rPr>
        <w:t xml:space="preserve">⟨d⟩</w:t>
      </w:r>
      <w:r>
        <w:rPr>
          <w:b/>
          <w:bCs/>
        </w:rPr>
        <w:t xml:space="preserve">(rā)</w:t>
      </w:r>
      <w:r>
        <w:t xml:space="preserve">ti(ṟṟa) […]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śrī ⬦</w:t>
      </w:r>
      <w:r>
        <w:t xml:space="preserve"> </w:t>
      </w:r>
      <w:r>
        <w:rPr>
          <w:rStyle w:val="ColorGreen"/>
          <w:i/>
          <w:iCs/>
        </w:rPr>
        <w:t xml:space="preserve">srī</w:t>
      </w:r>
      <w:r>
        <w:t xml:space="preserve"> </w:t>
      </w:r>
      <w:r>
        <w:t xml:space="preserve">C. —</w:t>
      </w:r>
      <w:r>
        <w:t xml:space="preserve"> </w:t>
      </w:r>
      <w:r>
        <w:rPr>
          <w:rStyle w:val="ColorGray"/>
        </w:rPr>
        <w:t xml:space="preserve">⟨1⟩</w:t>
      </w:r>
      <w:r>
        <w:t xml:space="preserve"> </w:t>
      </w:r>
      <w:r>
        <w:t xml:space="preserve">°perumāḷ C ⬦</w:t>
      </w:r>
      <w:r>
        <w:t xml:space="preserve"> </w:t>
      </w:r>
      <w:r>
        <w:rPr>
          <w:rStyle w:val="ColorGreen"/>
          <w:i/>
          <w:iCs/>
        </w:rPr>
        <w:t xml:space="preserve">°perumāṉ</w:t>
      </w:r>
      <w:r>
        <w:t xml:space="preserve"> </w:t>
      </w:r>
      <w:r>
        <w:t xml:space="preserve">S.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muppattu ⟨⟨nālu n⟩⟩iṟai C ⬦</w:t>
      </w:r>
      <w:r>
        <w:t xml:space="preserve"> </w:t>
      </w:r>
      <w:r>
        <w:rPr>
          <w:rStyle w:val="ColorGreen"/>
          <w:i/>
          <w:iCs/>
        </w:rPr>
        <w:t xml:space="preserve">muppattu ⟨⟨nālu⟩⟩ niṟai</w:t>
      </w:r>
      <w:r>
        <w:t xml:space="preserve"> </w:t>
      </w:r>
      <w:r>
        <w:t xml:space="preserve">S • C: “le lapicide a incisé le</w:t>
      </w:r>
      <w:r>
        <w:t xml:space="preserve"> </w:t>
      </w:r>
      <w:r>
        <w:rPr>
          <w:i/>
          <w:iCs/>
        </w:rPr>
        <w:t xml:space="preserve">-nālu</w:t>
      </w:r>
      <w:r>
        <w:t xml:space="preserve"> </w:t>
      </w:r>
      <w:r>
        <w:t xml:space="preserve">(quatre) ainsi que le</w:t>
      </w:r>
      <w:r>
        <w:t xml:space="preserve"> </w:t>
      </w:r>
      <w:r>
        <w:rPr>
          <w:i/>
          <w:iCs/>
        </w:rPr>
        <w:t xml:space="preserve">n-</w:t>
      </w:r>
      <w:r>
        <w:t xml:space="preserve"> </w:t>
      </w:r>
      <w:r>
        <w:t xml:space="preserve">initial du</w:t>
      </w:r>
      <w:r>
        <w:t xml:space="preserve"> </w:t>
      </w:r>
      <w:r>
        <w:rPr>
          <w:i/>
          <w:iCs/>
        </w:rPr>
        <w:t xml:space="preserve">niṟai</w:t>
      </w:r>
      <w:r>
        <w:t xml:space="preserve"> </w:t>
      </w:r>
      <w:r>
        <w:t xml:space="preserve">suivant sous le</w:t>
      </w:r>
      <w:r>
        <w:t xml:space="preserve"> </w:t>
      </w:r>
      <w:r>
        <w:rPr>
          <w:i/>
          <w:iCs/>
        </w:rPr>
        <w:t xml:space="preserve">muppattu</w:t>
      </w:r>
      <w:r>
        <w:t xml:space="preserve"> </w:t>
      </w:r>
      <w:r>
        <w:t xml:space="preserve">(trente).” —</w:t>
      </w:r>
      <w:r>
        <w:t xml:space="preserve"> </w:t>
      </w:r>
      <w:r>
        <w:rPr>
          <w:rStyle w:val="ColorGray"/>
        </w:rPr>
        <w:t xml:space="preserve">⟨2⟩</w:t>
      </w:r>
      <w:r>
        <w:t xml:space="preserve"> </w:t>
      </w:r>
      <w:r>
        <w:t xml:space="preserve">Irunūṟṟu C ⬦</w:t>
      </w:r>
      <w:r>
        <w:t xml:space="preserve"> </w:t>
      </w:r>
      <w:r>
        <w:rPr>
          <w:rStyle w:val="ColorGreen"/>
          <w:i/>
          <w:iCs/>
        </w:rPr>
        <w:t xml:space="preserve">marunūṟṟu</w:t>
      </w:r>
      <w:r>
        <w:t xml:space="preserve"> </w:t>
      </w:r>
      <w:r>
        <w:t xml:space="preserve">S • C: “le</w:t>
      </w:r>
      <w:r>
        <w:t xml:space="preserve"> </w:t>
      </w:r>
      <w:r>
        <w:rPr>
          <w:i/>
          <w:iCs/>
        </w:rPr>
        <w:t xml:space="preserve">i</w:t>
      </w:r>
      <w:r>
        <w:t xml:space="preserve"> </w:t>
      </w:r>
      <w:r>
        <w:t xml:space="preserve">initial de</w:t>
      </w:r>
      <w:r>
        <w:t xml:space="preserve"> </w:t>
      </w:r>
      <w:r>
        <w:rPr>
          <w:i/>
          <w:iCs/>
        </w:rPr>
        <w:t xml:space="preserve">iru-</w:t>
      </w:r>
      <w:r>
        <w:t xml:space="preserve"> </w:t>
      </w:r>
      <w:r>
        <w:t xml:space="preserve">(deux) étant clairement lisible in situ, nous écartons le</w:t>
      </w:r>
      <w:r>
        <w:t xml:space="preserve"> </w:t>
      </w:r>
      <w:r>
        <w:rPr>
          <w:i/>
          <w:iCs/>
        </w:rPr>
        <w:t xml:space="preserve">marunūṟṟu</w:t>
      </w:r>
      <w:r>
        <w:t xml:space="preserve"> </w:t>
      </w:r>
      <w:r>
        <w:t xml:space="preserve">donné dans SII 32: 101.” —</w:t>
      </w:r>
      <w:r>
        <w:t xml:space="preserve"> </w:t>
      </w:r>
      <w:r>
        <w:rPr>
          <w:rStyle w:val="ColorGray"/>
        </w:rPr>
        <w:t xml:space="preserve">⟨2⟩</w:t>
      </w:r>
      <w:r>
        <w:t xml:space="preserve"> </w:t>
      </w:r>
      <w:r>
        <w:t xml:space="preserve">nūṟṟu toṇṇūṟu C ⬦</w:t>
      </w:r>
      <w:r>
        <w:t xml:space="preserve"> </w:t>
      </w:r>
      <w:r>
        <w:rPr>
          <w:rStyle w:val="ColorGreen"/>
          <w:i/>
          <w:iCs/>
        </w:rPr>
        <w:t xml:space="preserve">nū⟨ṟ⟩ṟutoṇṇūṟu</w:t>
      </w:r>
      <w:r>
        <w:t xml:space="preserve"> </w:t>
      </w:r>
      <w:r>
        <w:t xml:space="preserve">S.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1992–93 (ARIE/1992-1993/B/1992-1993/419).</w:t>
      </w:r>
    </w:p>
    <w:p>
      <w:pPr>
        <w:pStyle w:val="BodyText"/>
      </w:pPr>
      <w:r>
        <w:t xml:space="preserve">Edited in Swaminathan 2012 (</w:t>
      </w:r>
      <w:hyperlink r:id="rId9">
        <w:r>
          <w:rPr>
            <w:rStyle w:val="Hyperlink"/>
          </w:rPr>
          <w:t xml:space="preserve">SII 32.2.101</w:t>
        </w:r>
      </w:hyperlink>
      <w:r>
        <w:t xml:space="preserve">); edited in Cane 2017 (no. 9), based on photos (Charlotte Schmid).</w:t>
      </w:r>
    </w:p>
    <w:p>
      <w:pPr>
        <w:pStyle w:val="BodyText"/>
      </w:pPr>
      <w:r>
        <w:t xml:space="preserve">This digital edition after Cane 2017, curated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[S]</w:t>
      </w:r>
      <w:r>
        <w:t xml:space="preserve"> </w:t>
      </w:r>
      <w:r>
        <w:t xml:space="preserve">Swaminathan, S. 2012.</w:t>
      </w:r>
      <w:r>
        <w:t xml:space="preserve"> </w:t>
      </w:r>
      <w:r>
        <w:rPr>
          <w:i/>
          <w:iCs/>
        </w:rPr>
        <w:t xml:space="preserve">South Indian inscriptions. Volume XXXII: inscriptions of the early Chola kings upto Uttama Chola</w:t>
      </w:r>
      <w:r>
        <w:t xml:space="preserve">. South Indian Inscriptions 32. New Delhi: Archaeological survey of India (Director General). Part II, page TBC, item 101.</w:t>
      </w:r>
    </w:p>
    <w:p>
      <w:pPr>
        <w:pStyle w:val="BodyText"/>
      </w:pPr>
      <w:r>
        <w:rPr>
          <w:b/>
          <w:bCs/>
        </w:rPr>
        <w:t xml:space="preserve">[C]</w:t>
      </w:r>
      <w:r>
        <w:t xml:space="preserve"> </w:t>
      </w:r>
      <w:r>
        <w:t xml:space="preserve">Cane, Nicolas. 2017. “Cempiyaṉ-Mahādevī, reine et dévote : un « personnage épigraphique » du Xe siècle.” These de doctorat, Paris Sciences et Lettres (ComUE). No place.</w:t>
      </w:r>
      <w:r>
        <w:t xml:space="preserve"> </w:t>
      </w:r>
      <w:hyperlink r:id="rId10">
        <w:r>
          <w:rPr>
            <w:rStyle w:val="Hyperlink"/>
          </w:rPr>
          <w:t xml:space="preserve">[URL]</w:t>
        </w:r>
      </w:hyperlink>
      <w:r>
        <w:t xml:space="preserve">. Pages 800–, item 9, figure TBC.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1992–93.</w:t>
      </w:r>
      <w:r>
        <w:t xml:space="preserve"> </w:t>
      </w:r>
      <w:r>
        <w:rPr>
          <w:i/>
          <w:iCs/>
        </w:rPr>
        <w:t xml:space="preserve">Annual report on Indian epigraphy for 1992-93</w:t>
      </w:r>
      <w:r>
        <w:t xml:space="preserve">. Edited by Madhav N. Katti. New Delhi: Archaeological Survey of India, 1998. Page 67, appendixes B/1992-1993, item 419.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SIIv32p2i0101" TargetMode="External" /><Relationship Type="http://schemas.openxmlformats.org/officeDocument/2006/relationships/hyperlink" Id="rId10" Target="https://www.theses.fr/2017PSLEP0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SIIv32p2i0101" TargetMode="External" /><Relationship Type="http://schemas.openxmlformats.org/officeDocument/2006/relationships/hyperlink" Id="rId10" Target="https://www.theses.fr/2017PSLEP056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Pāccil-Kōpurappaṭṭi, Avanīśvara/Amalīśvara temple, time of Parakesarivarman, year 12</dc:title>
  <dc:creator>Nicolas Cane and Emmanuel Francis</dc:creator>
  <cp:keywords/>
  <dcterms:created xsi:type="dcterms:W3CDTF">2026-10-26T19:10:20Z</dcterms:created>
  <dcterms:modified xsi:type="dcterms:W3CDTF">2026-10-26T19:10:20Z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