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1352. Stela of Tuol Ang Chi Chmar, 590 Śaka</w:t>
      </w:r>
    </w:p>
    <w:p>
      <w:pPr>
        <w:pStyle w:val="Author"/>
      </w:pPr>
      <w:r>
        <w:t xml:space="preserve">Kunthea Chhom, Arlo Griffiths, Dominic Goodall and Chhunteng Hun</w:t>
      </w:r>
    </w:p>
    <w:p>
      <w:pPr>
        <w:pStyle w:val="FirstParagraph"/>
      </w:pPr>
      <w:r>
        <w:t xml:space="preserve">Authors of digital edition: Kunthea Chhom, Arlo Griffiths, Dominic Goodall, Chhunteng Hun</w:t>
      </w:r>
    </w:p>
    <w:p>
      <w:pPr>
        <w:pStyle w:val="BodyText"/>
      </w:pPr>
      <w:r>
        <w:t xml:space="preserve">Identifier: DHARMA_INSCIK01352</w:t>
      </w:r>
    </w:p>
    <w:p>
      <w:pPr>
        <w:pStyle w:val="BodyText"/>
      </w:pPr>
      <w:r>
        <w:t xml:space="preserve">Repository: Khmer (tfc-khmer-epigraphy)</w:t>
      </w:r>
    </w:p>
    <w:p>
      <w:pPr>
        <w:pStyle w:val="BodyText"/>
      </w:pPr>
      <w:r>
        <w:t xml:space="preserve">File path: texts/xml/DHARMA_INSCIK01352.xml</w:t>
      </w:r>
    </w:p>
    <w:p>
      <w:pPr>
        <w:pStyle w:val="BodyText"/>
      </w:pPr>
      <w:r>
        <w:t xml:space="preserve">Language: Sanskrit [Khmer]</w:t>
      </w:r>
    </w:p>
    <w:p>
      <w:pPr>
        <w:pStyle w:val="BodyText"/>
      </w:pPr>
      <w:r>
        <w:t xml:space="preserve">Commit: 2026-10-23 15:46 (7597515), last modified 2026-09-17 01:54 (2c24a58)</w:t>
      </w:r>
    </w:p>
    <w:p>
      <w:pPr>
        <w:pStyle w:val="Heading1"/>
      </w:pPr>
      <w:r>
        <w:t xml:space="preserve">Summary</w:t>
      </w:r>
    </w:p>
    <w:p>
      <w:pPr>
        <w:pStyle w:val="FirstParagraph"/>
      </w:pPr>
      <w:r>
        <w:t xml:space="preserve">The inscription contains ten lines in Sanskrit forming five stanzas in anuṣṭubh metre. The poem opens with a praise of god Śiva. In the second verse, a devotee of god Śiva namely Nandīrāśi under the reign of king Jayavarman I established a hermitage (āśrama). The verse III mentions a donation of wealth of the protagonist to the hermitage. The last two stanzas consist of a malediction and a benediction for the protection of the foundation.</w:t>
      </w:r>
    </w:p>
    <w:p>
      <w:pPr>
        <w:pStyle w:val="Heading1"/>
      </w:pPr>
      <w:r>
        <w:t xml:space="preserve">Palaeographic description</w:t>
      </w:r>
    </w:p>
    <w:p>
      <w:pPr>
        <w:pStyle w:val="FirstParagraph"/>
      </w:pPr>
      <w:r>
        <w:t xml:space="preserve">The lettering is characteristic of the seventh century CE. There is a carving of lotus with a line of circles below.</w:t>
      </w:r>
    </w:p>
    <w:p>
      <w:r>
        <w:pict>
          <v:rect style="width:0;height:1.5pt" o:hralign="center" o:hrstd="t" o:hr="t"/>
        </w:pict>
      </w:r>
    </w:p>
    <w:p>
      <w:pPr>
        <w:pStyle w:val="Heading1"/>
      </w:pPr>
      <w:r>
        <w:t xml:space="preserve">Edition</w:t>
      </w:r>
    </w:p>
    <w:p>
      <w:pPr>
        <w:pStyle w:val="FirstParagraph"/>
      </w:pPr>
      <w:r>
        <w:t xml:space="preserve">1.</w:t>
      </w:r>
      <w:r>
        <w:t xml:space="preserve"> </w:t>
      </w:r>
      <w:hyperlink r:id="rId9">
        <w:r>
          <w:rPr>
            <w:rStyle w:val="Hyperlink"/>
          </w:rPr>
          <w:t xml:space="preserve">Anuṣṭubh</w:t>
        </w:r>
      </w:hyperlink>
    </w:p>
    <w:p>
      <w:pPr>
        <w:pStyle w:val="BodyText"/>
      </w:pPr>
      <w:r>
        <w:rPr>
          <w:rStyle w:val="ColorGray"/>
        </w:rPr>
        <w:t xml:space="preserve"> </w:t>
      </w:r>
      <w:r>
        <w:rPr>
          <w:rStyle w:val="ColorGray"/>
        </w:rPr>
        <w:t xml:space="preserve">⟨1⟩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(ja)yaty a(m)a(ra)ṇā(rthe) ya</w:t>
      </w:r>
      <w:r>
        <w:rPr>
          <w:rStyle w:val="ColorGray"/>
        </w:rPr>
        <w:t xml:space="preserve"> </w:t>
      </w:r>
      <w:r>
        <w:rPr>
          <w:rStyle w:val="ColorGray"/>
        </w:rPr>
        <w:t xml:space="preserve">⟨Column b⟩</w:t>
      </w:r>
      <w:r>
        <w:rPr>
          <w:rStyle w:val="ColorGray"/>
        </w:rPr>
        <w:t xml:space="preserve"> </w:t>
      </w:r>
      <w:r>
        <w:t xml:space="preserve">ś</w:t>
      </w:r>
      <w:r>
        <w:br/>
      </w:r>
      <w:r>
        <w:t xml:space="preserve">śrīmāñ chakti-trayāt prabhuḥ</w:t>
      </w:r>
      <w:r>
        <w:br/>
      </w:r>
      <w:r>
        <w:rPr>
          <w:rStyle w:val="ColorGray"/>
        </w:rPr>
        <w:t xml:space="preserve">⟨2⟩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jagat-sakala-ka(r)tt(e)śa</w:t>
      </w:r>
      <w:r>
        <w:rPr>
          <w:rStyle w:val="ColorGray"/>
        </w:rPr>
        <w:t xml:space="preserve"> </w:t>
      </w:r>
      <w:r>
        <w:rPr>
          <w:rStyle w:val="ColorGray"/>
        </w:rPr>
        <w:t xml:space="preserve">⟨Column b⟩</w:t>
      </w:r>
      <w:r>
        <w:rPr>
          <w:rStyle w:val="ColorGray"/>
        </w:rPr>
        <w:t xml:space="preserve"> </w:t>
      </w:r>
      <w:r>
        <w:t xml:space="preserve">s</w:t>
      </w:r>
      <w:r>
        <w:br/>
      </w:r>
      <w:r>
        <w:t xml:space="preserve">sārddha-candra-jaṭā-dharaḥ</w:t>
      </w:r>
    </w:p>
    <w:p>
      <w:pPr>
        <w:pStyle w:val="BodyText"/>
      </w:pPr>
      <w:r>
        <w:t xml:space="preserve">2.</w:t>
      </w:r>
      <w:r>
        <w:t xml:space="preserve"> </w:t>
      </w:r>
      <w:hyperlink r:id="rId9">
        <w:r>
          <w:rPr>
            <w:rStyle w:val="Hyperlink"/>
          </w:rPr>
          <w:t xml:space="preserve">Anuṣṭubh</w:t>
        </w:r>
      </w:hyperlink>
    </w:p>
    <w:p>
      <w:pPr>
        <w:pStyle w:val="BodyText"/>
      </w:pPr>
      <w:r>
        <w:rPr>
          <w:rStyle w:val="ColorGray"/>
        </w:rPr>
        <w:t xml:space="preserve">⟨3⟩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(ta)s(m)i(n) r(ājādhirājasya)</w:t>
      </w:r>
      <w:r>
        <w:br/>
      </w:r>
      <w:r>
        <w:rPr>
          <w:rStyle w:val="ColorGray"/>
        </w:rPr>
        <w:t xml:space="preserve">⟨Column b⟩</w:t>
      </w:r>
      <w:r>
        <w:rPr>
          <w:rStyle w:val="ColorGray"/>
        </w:rPr>
        <w:t xml:space="preserve"> </w:t>
      </w:r>
      <w:r>
        <w:t xml:space="preserve">(rājye śrījayava)rmmaṇaḥ</w:t>
      </w:r>
      <w:r>
        <w:br/>
      </w:r>
      <w:r>
        <w:rPr>
          <w:rStyle w:val="ColorGray"/>
        </w:rPr>
        <w:t xml:space="preserve">⟨4⟩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tad-āśramaṁ samaka(ro)</w:t>
      </w:r>
      <w:r>
        <w:rPr>
          <w:rStyle w:val="ColorGray"/>
        </w:rPr>
        <w:t xml:space="preserve"> </w:t>
      </w:r>
      <w:r>
        <w:rPr>
          <w:rStyle w:val="ColorGray"/>
        </w:rPr>
        <w:t xml:space="preserve">⟨Column b⟩</w:t>
      </w:r>
      <w:r>
        <w:rPr>
          <w:rStyle w:val="ColorGray"/>
        </w:rPr>
        <w:t xml:space="preserve"> </w:t>
      </w:r>
      <w:r>
        <w:t xml:space="preserve">n</w:t>
      </w:r>
      <w:r>
        <w:br/>
      </w:r>
      <w:r>
        <w:t xml:space="preserve">nandi(rā)śir vratī mahān·</w:t>
      </w:r>
    </w:p>
    <w:p>
      <w:pPr>
        <w:pStyle w:val="BodyText"/>
      </w:pPr>
      <w:r>
        <w:t xml:space="preserve">3.</w:t>
      </w:r>
      <w:r>
        <w:t xml:space="preserve"> </w:t>
      </w:r>
      <w:hyperlink r:id="rId9">
        <w:r>
          <w:rPr>
            <w:rStyle w:val="Hyperlink"/>
          </w:rPr>
          <w:t xml:space="preserve">Anuṣṭubh</w:t>
        </w:r>
      </w:hyperlink>
    </w:p>
    <w:p>
      <w:pPr>
        <w:pStyle w:val="BodyText"/>
      </w:pPr>
      <w:r>
        <w:rPr>
          <w:rStyle w:val="ColorGray"/>
        </w:rPr>
        <w:t xml:space="preserve">⟨5⟩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nabhaś-chidra-śarair llakṣye</w:t>
      </w:r>
      <w:r>
        <w:br/>
      </w:r>
      <w:r>
        <w:rPr>
          <w:rStyle w:val="ColorGray"/>
        </w:rPr>
        <w:t xml:space="preserve">⟨Column b⟩</w:t>
      </w:r>
      <w:r>
        <w:rPr>
          <w:rStyle w:val="ColorGray"/>
        </w:rPr>
        <w:t xml:space="preserve"> </w:t>
      </w:r>
      <w:r>
        <w:t xml:space="preserve">śakā</w:t>
      </w:r>
      <w:r>
        <w:rPr>
          <w:rStyle w:val="ColorMagenta"/>
        </w:rPr>
        <w:t xml:space="preserve">¡p!</w:t>
      </w:r>
      <w:r>
        <w:rPr>
          <w:rStyle w:val="ColorBlue"/>
        </w:rPr>
        <w:t xml:space="preserve">⟨b⟩</w:t>
      </w:r>
      <w:r>
        <w:t xml:space="preserve">de mādhavasya ca</w:t>
      </w:r>
      <w:r>
        <w:br/>
      </w:r>
      <w:r>
        <w:rPr>
          <w:rStyle w:val="ColorGray"/>
        </w:rPr>
        <w:t xml:space="preserve">⟨6⟩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gu(rvartha)ṁ paurṇnāmāsyāñ ca</w:t>
      </w:r>
      <w:r>
        <w:br/>
      </w:r>
      <w:r>
        <w:rPr>
          <w:rStyle w:val="ColorGray"/>
        </w:rPr>
        <w:t xml:space="preserve">⟨Column b⟩</w:t>
      </w:r>
      <w:r>
        <w:rPr>
          <w:rStyle w:val="ColorGray"/>
        </w:rPr>
        <w:t xml:space="preserve"> </w:t>
      </w:r>
      <w:r>
        <w:t xml:space="preserve">so ’vyadād idam āśrame</w:t>
      </w:r>
    </w:p>
    <w:p>
      <w:pPr>
        <w:pStyle w:val="BodyText"/>
      </w:pPr>
      <w:r>
        <w:t xml:space="preserve">4.</w:t>
      </w:r>
      <w:r>
        <w:t xml:space="preserve"> </w:t>
      </w:r>
      <w:hyperlink r:id="rId9">
        <w:r>
          <w:rPr>
            <w:rStyle w:val="Hyperlink"/>
          </w:rPr>
          <w:t xml:space="preserve">Anuṣṭubh</w:t>
        </w:r>
      </w:hyperlink>
    </w:p>
    <w:p>
      <w:pPr>
        <w:pStyle w:val="BodyText"/>
      </w:pPr>
      <w:r>
        <w:rPr>
          <w:rStyle w:val="ColorGray"/>
        </w:rPr>
        <w:t xml:space="preserve">⟨7⟩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yoginām āśrama-dravya</w:t>
      </w:r>
      <w:r>
        <w:rPr>
          <w:rStyle w:val="ColorGray"/>
        </w:rPr>
        <w:t xml:space="preserve"> </w:t>
      </w:r>
      <w:r>
        <w:rPr>
          <w:rStyle w:val="ColorGray"/>
        </w:rPr>
        <w:t xml:space="preserve">⟨Column b⟩</w:t>
      </w:r>
      <w:r>
        <w:rPr>
          <w:rStyle w:val="ColorGray"/>
        </w:rPr>
        <w:t xml:space="preserve"> </w:t>
      </w:r>
      <w:r>
        <w:t xml:space="preserve">m</w:t>
      </w:r>
      <w:r>
        <w:br/>
      </w:r>
      <w:r>
        <w:t xml:space="preserve">ito lobhāj jihīrṣati</w:t>
      </w:r>
      <w:r>
        <w:br/>
      </w:r>
      <w:r>
        <w:rPr>
          <w:rStyle w:val="ColorGray"/>
        </w:rPr>
        <w:t xml:space="preserve">⟨8⟩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sa pāpaśūro niraye</w:t>
      </w:r>
      <w:r>
        <w:br/>
      </w:r>
      <w:r>
        <w:rPr>
          <w:rStyle w:val="ColorGray"/>
        </w:rPr>
        <w:t xml:space="preserve">⟨Column b⟩</w:t>
      </w:r>
      <w:r>
        <w:rPr>
          <w:rStyle w:val="ColorGray"/>
        </w:rPr>
        <w:t xml:space="preserve"> </w:t>
      </w:r>
      <w:r>
        <w:t xml:space="preserve">nimajjed ā bhuvas sthite[ḥ]</w:t>
      </w:r>
    </w:p>
    <w:p>
      <w:pPr>
        <w:pStyle w:val="BodyText"/>
      </w:pPr>
      <w:r>
        <w:t xml:space="preserve">5.</w:t>
      </w:r>
      <w:r>
        <w:t xml:space="preserve"> </w:t>
      </w:r>
      <w:hyperlink r:id="rId9">
        <w:r>
          <w:rPr>
            <w:rStyle w:val="Hyperlink"/>
          </w:rPr>
          <w:t xml:space="preserve">Anuṣṭubh</w:t>
        </w:r>
      </w:hyperlink>
    </w:p>
    <w:p>
      <w:pPr>
        <w:pStyle w:val="BodyText"/>
      </w:pPr>
      <w:r>
        <w:rPr>
          <w:rStyle w:val="ColorGray"/>
        </w:rPr>
        <w:t xml:space="preserve">⟨9⟩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sva-puṇyaṁ para-puṇyam vā</w:t>
      </w:r>
      <w:r>
        <w:br/>
      </w:r>
      <w:r>
        <w:rPr>
          <w:rStyle w:val="ColorGray"/>
        </w:rPr>
        <w:t xml:space="preserve">⟨Column b⟩</w:t>
      </w:r>
      <w:r>
        <w:rPr>
          <w:rStyle w:val="ColorGray"/>
        </w:rPr>
        <w:t xml:space="preserve"> </w:t>
      </w:r>
      <w:r>
        <w:t xml:space="preserve">cira-kālena hīnakam·</w:t>
      </w:r>
      <w:r>
        <w:br/>
      </w:r>
      <w:r>
        <w:rPr>
          <w:rStyle w:val="ColorGray"/>
        </w:rPr>
        <w:t xml:space="preserve">⟨10⟩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sva-dhanair yyo ’nuvarddheta ꩜</w:t>
      </w:r>
      <w:r>
        <w:br/>
      </w:r>
      <w:r>
        <w:rPr>
          <w:rStyle w:val="ColorGray"/>
        </w:rPr>
        <w:t xml:space="preserve">⟨Column b⟩</w:t>
      </w:r>
      <w:r>
        <w:rPr>
          <w:rStyle w:val="ColorGray"/>
        </w:rPr>
        <w:t xml:space="preserve"> </w:t>
      </w:r>
      <w:r>
        <w:t xml:space="preserve">sa svarggāyopakalpyate</w:t>
      </w:r>
    </w:p>
    <w:p>
      <w:pPr>
        <w:pStyle w:val="Heading1"/>
      </w:pPr>
      <w:r>
        <w:t xml:space="preserve">Apparatus</w:t>
      </w:r>
    </w:p>
    <w:p>
      <w:pPr>
        <w:pStyle w:val="FirstParagraph"/>
      </w:pPr>
      <w:r>
        <w:rPr>
          <w:rStyle w:val="ColorGray"/>
        </w:rPr>
        <w:t xml:space="preserve">⟨1⟩</w:t>
      </w:r>
      <w:r>
        <w:t xml:space="preserve"> </w:t>
      </w:r>
      <w:r>
        <w:t xml:space="preserve">a(m)a(ra)ṇā(rthe) ⬦</w:t>
      </w:r>
      <w:r>
        <w:t xml:space="preserve"> </w:t>
      </w:r>
      <w:r>
        <w:rPr>
          <w:rStyle w:val="ColorGreen"/>
          <w:i/>
          <w:iCs/>
        </w:rPr>
        <w:t xml:space="preserve">amaraṇātho</w:t>
      </w:r>
      <w:r>
        <w:t xml:space="preserve"> </w:t>
      </w:r>
      <w:r>
        <w:t xml:space="preserve">CH • The term</w:t>
      </w:r>
      <w:r>
        <w:t xml:space="preserve"> </w:t>
      </w:r>
      <w:r>
        <w:rPr>
          <w:i/>
          <w:iCs/>
        </w:rPr>
        <w:t xml:space="preserve">amaraṇārthe</w:t>
      </w:r>
      <w:r>
        <w:t xml:space="preserve"> </w:t>
      </w:r>
      <w:r>
        <w:t xml:space="preserve">should perhaps more properly be transcribed</w:t>
      </w:r>
      <w:r>
        <w:t xml:space="preserve"> </w:t>
      </w:r>
      <w:r>
        <w:rPr>
          <w:i/>
          <w:iCs/>
        </w:rPr>
        <w:t xml:space="preserve">amaraṇātho</w:t>
      </w:r>
      <w:r>
        <w:t xml:space="preserve">, since, if the final graph represents</w:t>
      </w:r>
      <w:r>
        <w:t xml:space="preserve"> </w:t>
      </w:r>
      <w:r>
        <w:rPr>
          <w:i/>
          <w:iCs/>
        </w:rPr>
        <w:t xml:space="preserve">rthe</w:t>
      </w:r>
      <w:r>
        <w:t xml:space="preserve">, we would normally expect the final vowel-marker to be placed in front of the raised</w:t>
      </w:r>
      <w:r>
        <w:t xml:space="preserve"> </w:t>
      </w:r>
      <w:r>
        <w:rPr>
          <w:i/>
          <w:iCs/>
        </w:rPr>
        <w:t xml:space="preserve">r</w:t>
      </w:r>
      <w:r>
        <w:t xml:space="preserve"> </w:t>
      </w:r>
      <w:r>
        <w:t xml:space="preserve">(as in</w:t>
      </w:r>
      <w:r>
        <w:t xml:space="preserve"> </w:t>
      </w:r>
      <w:r>
        <w:rPr>
          <w:i/>
          <w:iCs/>
        </w:rPr>
        <w:t xml:space="preserve">°kartteśas</w:t>
      </w:r>
      <w:r>
        <w:t xml:space="preserve"> </w:t>
      </w:r>
      <w:r>
        <w:t xml:space="preserve">in the following line), rather than before the</w:t>
      </w:r>
      <w:r>
        <w:t xml:space="preserve"> </w:t>
      </w:r>
      <w:r>
        <w:rPr>
          <w:i/>
          <w:iCs/>
        </w:rPr>
        <w:t xml:space="preserve">th</w:t>
      </w:r>
      <w:r>
        <w:t xml:space="preserve"> </w:t>
      </w:r>
      <w:r>
        <w:t xml:space="preserve">underneath. But this requires assuming a (not impossible) grammatical anomaly. If we were to read</w:t>
      </w:r>
      <w:r>
        <w:t xml:space="preserve"> </w:t>
      </w:r>
      <w:r>
        <w:rPr>
          <w:i/>
          <w:iCs/>
        </w:rPr>
        <w:t xml:space="preserve">amaraṇātho</w:t>
      </w:r>
      <w:r>
        <w:t xml:space="preserve"> </w:t>
      </w:r>
      <w:r>
        <w:t xml:space="preserve">(instead of</w:t>
      </w:r>
      <w:r>
        <w:t xml:space="preserve"> </w:t>
      </w:r>
      <w:r>
        <w:rPr>
          <w:i/>
          <w:iCs/>
        </w:rPr>
        <w:t xml:space="preserve">amaraṇārthe</w:t>
      </w:r>
      <w:r>
        <w:t xml:space="preserve">), we would have to assume mistaken retroflexion of the initial consonant of the word</w:t>
      </w:r>
      <w:r>
        <w:t xml:space="preserve"> </w:t>
      </w:r>
      <w:r>
        <w:rPr>
          <w:i/>
          <w:iCs/>
        </w:rPr>
        <w:t xml:space="preserve">nātha</w:t>
      </w:r>
      <w:r>
        <w:t xml:space="preserve">, induced by the</w:t>
      </w:r>
      <w:r>
        <w:t xml:space="preserve"> </w:t>
      </w:r>
      <w:r>
        <w:rPr>
          <w:i/>
          <w:iCs/>
        </w:rPr>
        <w:t xml:space="preserve">r</w:t>
      </w:r>
      <w:r>
        <w:t xml:space="preserve"> </w:t>
      </w:r>
      <w:r>
        <w:t xml:space="preserve">in the preceding word in the compound. In that case, the verse would begin “He who (</w:t>
      </w:r>
      <w:r>
        <w:rPr>
          <w:i/>
          <w:iCs/>
        </w:rPr>
        <w:t xml:space="preserve">yaḥ</w:t>
      </w:r>
      <w:r>
        <w:t xml:space="preserve">) is victorious (</w:t>
      </w:r>
      <w:r>
        <w:rPr>
          <w:i/>
          <w:iCs/>
        </w:rPr>
        <w:t xml:space="preserve">jayati</w:t>
      </w:r>
      <w:r>
        <w:t xml:space="preserve">), the Lord of immortals (</w:t>
      </w:r>
      <w:r>
        <w:rPr>
          <w:i/>
          <w:iCs/>
        </w:rPr>
        <w:t xml:space="preserve">amaraṇāthaḥ</w:t>
      </w:r>
      <w:r>
        <w:t xml:space="preserve">), …”.</w:t>
      </w:r>
    </w:p>
    <w:p>
      <w:pPr>
        <w:pStyle w:val="BodyText"/>
      </w:pPr>
      <w:r>
        <w:rPr>
          <w:rStyle w:val="ColorGray"/>
        </w:rPr>
        <w:t xml:space="preserve">⟨4⟩</w:t>
      </w:r>
      <w:r>
        <w:t xml:space="preserve"> </w:t>
      </w:r>
      <w:r>
        <w:t xml:space="preserve">samaka(ro)_n ⬦</w:t>
      </w:r>
      <w:r>
        <w:t xml:space="preserve"> </w:t>
      </w:r>
      <w:r>
        <w:rPr>
          <w:rStyle w:val="ColorGreen"/>
          <w:i/>
          <w:iCs/>
        </w:rPr>
        <w:t xml:space="preserve">samakaro_t</w:t>
      </w:r>
      <w:r>
        <w:t xml:space="preserve"> </w:t>
      </w:r>
      <w:r>
        <w:t xml:space="preserve">CH. —</w:t>
      </w:r>
      <w:r>
        <w:t xml:space="preserve"> </w:t>
      </w:r>
      <w:r>
        <w:rPr>
          <w:rStyle w:val="ColorGray"/>
        </w:rPr>
        <w:t xml:space="preserve">⟨4⟩</w:t>
      </w:r>
      <w:r>
        <w:t xml:space="preserve"> </w:t>
      </w:r>
      <w:r>
        <w:t xml:space="preserve">nandi(rā)śir ⬦</w:t>
      </w:r>
      <w:r>
        <w:t xml:space="preserve"> </w:t>
      </w:r>
      <w:r>
        <w:rPr>
          <w:rStyle w:val="ColorGreen"/>
          <w:i/>
          <w:iCs/>
        </w:rPr>
        <w:t xml:space="preserve">tandirāśir</w:t>
      </w:r>
      <w:r>
        <w:t xml:space="preserve"> </w:t>
      </w:r>
      <w:r>
        <w:t xml:space="preserve">CH.</w:t>
      </w:r>
    </w:p>
    <w:p>
      <w:pPr>
        <w:pStyle w:val="BodyText"/>
      </w:pPr>
      <w:r>
        <w:rPr>
          <w:rStyle w:val="ColorGray"/>
        </w:rPr>
        <w:t xml:space="preserve">⟨6⟩</w:t>
      </w:r>
      <w:r>
        <w:t xml:space="preserve"> </w:t>
      </w:r>
      <w:r>
        <w:t xml:space="preserve">’vyadād ⬦</w:t>
      </w:r>
      <w:r>
        <w:t xml:space="preserve"> </w:t>
      </w:r>
      <w:r>
        <w:rPr>
          <w:rStyle w:val="ColorGreen"/>
          <w:i/>
          <w:iCs/>
        </w:rPr>
        <w:t xml:space="preserve">’bhyadād</w:t>
      </w:r>
      <w:r>
        <w:t xml:space="preserve"> </w:t>
      </w:r>
      <w:r>
        <w:t xml:space="preserve">CH.</w:t>
      </w:r>
    </w:p>
    <w:p>
      <w:pPr>
        <w:pStyle w:val="BodyText"/>
      </w:pPr>
      <w:r>
        <w:rPr>
          <w:rStyle w:val="ColorGray"/>
        </w:rPr>
        <w:t xml:space="preserve">⟨8⟩</w:t>
      </w:r>
      <w:r>
        <w:t xml:space="preserve"> </w:t>
      </w:r>
      <w:r>
        <w:t xml:space="preserve">sthite[ḥ] • For the suppletion of a final</w:t>
      </w:r>
      <w:r>
        <w:t xml:space="preserve"> </w:t>
      </w:r>
      <w:r>
        <w:rPr>
          <w:i/>
          <w:iCs/>
        </w:rPr>
        <w:t xml:space="preserve">visarga</w:t>
      </w:r>
      <w:r>
        <w:t xml:space="preserve">, of which no trace is visible, see note to the translation below.</w:t>
      </w:r>
    </w:p>
    <w:p>
      <w:pPr>
        <w:pStyle w:val="BodyText"/>
      </w:pPr>
      <w:r>
        <w:rPr>
          <w:rStyle w:val="ColorGray"/>
        </w:rPr>
        <w:t xml:space="preserve">⟨10⟩</w:t>
      </w:r>
      <w:r>
        <w:t xml:space="preserve"> </w:t>
      </w:r>
      <w:r>
        <w:t xml:space="preserve">꩜ • At the end of the third quarter-quarter, there is a counter-clockwise spiral which long puzzled me because the meter forbids another syllable here. Hun Chhunteng has kindly supplied the solution: he has explained, in an unpublished paper, that this symbol is used simply to fill space so that the end of this third quarter is aligned with the previous third quarters of the inscription, and he has shown that the symbol is used elsewhere, for instance in another pre-Angkorian inscription that we read at the TIISRR, namely K. 1417. Since his pointing this out, I notice that it also occurs in K. 151 after the third quarter of stanza VIII, where it also evidently puzzled Cœdès. —</w:t>
      </w:r>
      <w:r>
        <w:t xml:space="preserve"> </w:t>
      </w:r>
      <w:r>
        <w:rPr>
          <w:rStyle w:val="ColorGray"/>
        </w:rPr>
        <w:t xml:space="preserve">⟨10⟩</w:t>
      </w:r>
      <w:r>
        <w:t xml:space="preserve"> </w:t>
      </w:r>
      <w:r>
        <w:t xml:space="preserve">°kalpyate • As Kataoka Kei has pointed out, we expect rather</w:t>
      </w:r>
      <w:r>
        <w:t xml:space="preserve"> </w:t>
      </w:r>
      <w:r>
        <w:rPr>
          <w:i/>
          <w:iCs/>
        </w:rPr>
        <w:t xml:space="preserve">°kalpate</w:t>
      </w:r>
      <w:r>
        <w:t xml:space="preserve">, which would give the intended sense. We have translated as though the text read</w:t>
      </w:r>
      <w:r>
        <w:t xml:space="preserve"> </w:t>
      </w:r>
      <w:r>
        <w:rPr>
          <w:i/>
          <w:iCs/>
        </w:rPr>
        <w:t xml:space="preserve">°kalpate</w:t>
      </w:r>
      <w:r>
        <w:t xml:space="preserve">. —</w:t>
      </w:r>
      <w:r>
        <w:t xml:space="preserve"> </w:t>
      </w:r>
      <w:r>
        <w:rPr>
          <w:rStyle w:val="ColorGray"/>
        </w:rPr>
        <w:t xml:space="preserve">⟨10⟩</w:t>
      </w:r>
      <w:r>
        <w:t xml:space="preserve"> </w:t>
      </w:r>
      <w:r>
        <w:t xml:space="preserve">svadhanair ⬦</w:t>
      </w:r>
      <w:r>
        <w:t xml:space="preserve"> </w:t>
      </w:r>
      <w:r>
        <w:rPr>
          <w:rStyle w:val="ColorGreen"/>
          <w:i/>
          <w:iCs/>
        </w:rPr>
        <w:t xml:space="preserve">svavanair</w:t>
      </w:r>
      <w:r>
        <w:t xml:space="preserve"> </w:t>
      </w:r>
      <w:r>
        <w:t xml:space="preserve">CH.</w:t>
      </w:r>
    </w:p>
    <w:p>
      <w:pPr>
        <w:pStyle w:val="Heading1"/>
      </w:pPr>
      <w:r>
        <w:t xml:space="preserve">Translation by Goodall 2020</w:t>
      </w:r>
    </w:p>
    <w:p>
      <w:pPr>
        <w:pStyle w:val="FirstParagraph"/>
      </w:pPr>
      <w:r>
        <w:t xml:space="preserve">1–2.</w:t>
      </w:r>
    </w:p>
    <w:p>
      <w:pPr>
        <w:pStyle w:val="BodyText"/>
      </w:pPr>
      <w:r>
        <w:t xml:space="preserve">He who (</w:t>
      </w:r>
      <w:r>
        <w:rPr>
          <w:i/>
          <w:iCs/>
        </w:rPr>
        <w:t xml:space="preserve">yaḥ</w:t>
      </w:r>
      <w:r>
        <w:t xml:space="preserve">) is victorious (</w:t>
      </w:r>
      <w:r>
        <w:rPr>
          <w:i/>
          <w:iCs/>
        </w:rPr>
        <w:t xml:space="preserve">jayati</w:t>
      </w:r>
      <w:r>
        <w:t xml:space="preserve">), for the sake of non-death (</w:t>
      </w:r>
      <w:r>
        <w:rPr>
          <w:i/>
          <w:iCs/>
        </w:rPr>
        <w:t xml:space="preserve">amaraṇārthe</w:t>
      </w:r>
      <w:r>
        <w:t xml:space="preserve">), who is glorious (</w:t>
      </w:r>
      <w:r>
        <w:rPr>
          <w:i/>
          <w:iCs/>
        </w:rPr>
        <w:t xml:space="preserve">śrīmān</w:t>
      </w:r>
      <w:r>
        <w:t xml:space="preserve">) ⟨and⟩ all-powerful (</w:t>
      </w:r>
      <w:r>
        <w:rPr>
          <w:i/>
          <w:iCs/>
        </w:rPr>
        <w:t xml:space="preserve">prabhuḥ</w:t>
      </w:r>
      <w:r>
        <w:t xml:space="preserve">) by means of His three powers (</w:t>
      </w:r>
      <w:r>
        <w:rPr>
          <w:i/>
          <w:iCs/>
        </w:rPr>
        <w:t xml:space="preserve">śaktitrayāt</w:t>
      </w:r>
      <w:r>
        <w:t xml:space="preserve">), the all-creator of the universe (</w:t>
      </w:r>
      <w:r>
        <w:rPr>
          <w:i/>
          <w:iCs/>
        </w:rPr>
        <w:t xml:space="preserve">jagatsakalakarttā</w:t>
      </w:r>
      <w:r>
        <w:t xml:space="preserve">), the Lord (</w:t>
      </w:r>
      <w:r>
        <w:rPr>
          <w:i/>
          <w:iCs/>
        </w:rPr>
        <w:t xml:space="preserve">īśaḥ</w:t>
      </w:r>
      <w:r>
        <w:t xml:space="preserve">), whose matted locks ⟨are adorned⟩ with the crescent moon (</w:t>
      </w:r>
      <w:r>
        <w:rPr>
          <w:i/>
          <w:iCs/>
        </w:rPr>
        <w:t xml:space="preserve">sārddhacandrajaṭādharaḥ</w:t>
      </w:r>
      <w:r>
        <w:t xml:space="preserve">), in this (</w:t>
      </w:r>
      <w:r>
        <w:rPr>
          <w:i/>
          <w:iCs/>
        </w:rPr>
        <w:t xml:space="preserve">tasmin</w:t>
      </w:r>
      <w:r>
        <w:t xml:space="preserve">) reign (</w:t>
      </w:r>
      <w:r>
        <w:rPr>
          <w:i/>
          <w:iCs/>
        </w:rPr>
        <w:t xml:space="preserve">rājye</w:t>
      </w:r>
      <w:r>
        <w:t xml:space="preserve">) of the overlord of kings (</w:t>
      </w:r>
      <w:r>
        <w:rPr>
          <w:i/>
          <w:iCs/>
        </w:rPr>
        <w:t xml:space="preserve">rājādhirājasya</w:t>
      </w:r>
      <w:r>
        <w:t xml:space="preserve">) Jayavarman ⟨I⟩, the great (</w:t>
      </w:r>
      <w:r>
        <w:rPr>
          <w:i/>
          <w:iCs/>
        </w:rPr>
        <w:t xml:space="preserve">mahān</w:t>
      </w:r>
      <w:r>
        <w:t xml:space="preserve">) follower of religious observances (</w:t>
      </w:r>
      <w:r>
        <w:rPr>
          <w:i/>
          <w:iCs/>
        </w:rPr>
        <w:t xml:space="preserve">vratī</w:t>
      </w:r>
      <w:r>
        <w:t xml:space="preserve">) Nandirāśi created/completed (</w:t>
      </w:r>
      <w:r>
        <w:rPr>
          <w:i/>
          <w:iCs/>
        </w:rPr>
        <w:t xml:space="preserve">samakarot</w:t>
      </w:r>
      <w:r>
        <w:t xml:space="preserve">) an</w:t>
      </w:r>
      <w:r>
        <w:t xml:space="preserve"> </w:t>
      </w:r>
      <w:r>
        <w:rPr>
          <w:i/>
          <w:iCs/>
        </w:rPr>
        <w:t xml:space="preserve">āśrama</w:t>
      </w:r>
      <w:r>
        <w:t xml:space="preserve"> </w:t>
      </w:r>
      <w:r>
        <w:t xml:space="preserve">of Him.</w:t>
      </w:r>
    </w:p>
    <w:p>
      <w:pPr>
        <w:pStyle w:val="BodyText"/>
      </w:pPr>
      <w:r>
        <w:t xml:space="preserve">3–4.</w:t>
      </w:r>
    </w:p>
    <w:p>
      <w:pPr>
        <w:pStyle w:val="BodyText"/>
      </w:pPr>
      <w:r>
        <w:t xml:space="preserve">In the</w:t>
      </w:r>
      <w:r>
        <w:t xml:space="preserve"> </w:t>
      </w:r>
      <w:r>
        <w:rPr>
          <w:i/>
          <w:iCs/>
        </w:rPr>
        <w:t xml:space="preserve">śaka</w:t>
      </w:r>
      <w:r>
        <w:t xml:space="preserve"> </w:t>
      </w:r>
      <w:r>
        <w:t xml:space="preserve">year (</w:t>
      </w:r>
      <w:r>
        <w:rPr>
          <w:i/>
          <w:iCs/>
        </w:rPr>
        <w:t xml:space="preserve">śakābde</w:t>
      </w:r>
      <w:r>
        <w:t xml:space="preserve">) known (</w:t>
      </w:r>
      <w:r>
        <w:rPr>
          <w:i/>
          <w:iCs/>
        </w:rPr>
        <w:t xml:space="preserve">lakṣye</w:t>
      </w:r>
      <w:r>
        <w:t xml:space="preserve">) by void (0 =</w:t>
      </w:r>
      <w:r>
        <w:t xml:space="preserve"> </w:t>
      </w:r>
      <w:r>
        <w:rPr>
          <w:i/>
          <w:iCs/>
        </w:rPr>
        <w:t xml:space="preserve">nabhaḥ°</w:t>
      </w:r>
      <w:r>
        <w:t xml:space="preserve">), orifices (9 =</w:t>
      </w:r>
      <w:r>
        <w:t xml:space="preserve"> </w:t>
      </w:r>
      <w:r>
        <w:rPr>
          <w:i/>
          <w:iCs/>
        </w:rPr>
        <w:t xml:space="preserve">°chidra°</w:t>
      </w:r>
      <w:r>
        <w:t xml:space="preserve">), arrows (5 =</w:t>
      </w:r>
      <w:r>
        <w:t xml:space="preserve"> </w:t>
      </w:r>
      <w:r>
        <w:rPr>
          <w:i/>
          <w:iCs/>
        </w:rPr>
        <w:t xml:space="preserve">°śaraiḥ</w:t>
      </w:r>
      <w:r>
        <w:t xml:space="preserve">), on the full-moon day (</w:t>
      </w:r>
      <w:r>
        <w:rPr>
          <w:i/>
          <w:iCs/>
        </w:rPr>
        <w:t xml:space="preserve">paurṇamāsyāṁ</w:t>
      </w:r>
      <w:r>
        <w:t xml:space="preserve">) of ⟨the second month of spring, namely⟩ Mādhava, he gave, for the merit of his parents (</w:t>
      </w:r>
      <w:r>
        <w:rPr>
          <w:i/>
          <w:iCs/>
        </w:rPr>
        <w:t xml:space="preserve">gurvartham</w:t>
      </w:r>
      <w:r>
        <w:t xml:space="preserve">), this ⟨collection of⟩ monastery goods (</w:t>
      </w:r>
      <w:r>
        <w:rPr>
          <w:i/>
          <w:iCs/>
        </w:rPr>
        <w:t xml:space="preserve">āśramadravyam</w:t>
      </w:r>
      <w:r>
        <w:t xml:space="preserve">) to the Yogins in the</w:t>
      </w:r>
      <w:r>
        <w:t xml:space="preserve"> </w:t>
      </w:r>
      <w:r>
        <w:rPr>
          <w:i/>
          <w:iCs/>
        </w:rPr>
        <w:t xml:space="preserve">āśrama</w:t>
      </w:r>
      <w:r>
        <w:t xml:space="preserve">. ⟨If someone⟩ out of greed (</w:t>
      </w:r>
      <w:r>
        <w:rPr>
          <w:i/>
          <w:iCs/>
        </w:rPr>
        <w:t xml:space="preserve">lobhāt</w:t>
      </w:r>
      <w:r>
        <w:t xml:space="preserve">) desires to steal (</w:t>
      </w:r>
      <w:r>
        <w:rPr>
          <w:i/>
          <w:iCs/>
        </w:rPr>
        <w:t xml:space="preserve">jihīrṣati</w:t>
      </w:r>
      <w:r>
        <w:t xml:space="preserve">) from this ⟨monastery⟩ (</w:t>
      </w:r>
      <w:r>
        <w:rPr>
          <w:i/>
          <w:iCs/>
        </w:rPr>
        <w:t xml:space="preserve">itaḥ</w:t>
      </w:r>
      <w:r>
        <w:t xml:space="preserve">), that ace among villains (</w:t>
      </w:r>
      <w:r>
        <w:rPr>
          <w:i/>
          <w:iCs/>
        </w:rPr>
        <w:t xml:space="preserve">pāpaśūraḥ</w:t>
      </w:r>
      <w:r>
        <w:t xml:space="preserve">) must sink (</w:t>
      </w:r>
      <w:r>
        <w:rPr>
          <w:i/>
          <w:iCs/>
        </w:rPr>
        <w:t xml:space="preserve">nimajjet</w:t>
      </w:r>
      <w:r>
        <w:t xml:space="preserve">) into hell (</w:t>
      </w:r>
      <w:r>
        <w:rPr>
          <w:i/>
          <w:iCs/>
        </w:rPr>
        <w:t xml:space="preserve">niraye</w:t>
      </w:r>
      <w:r>
        <w:t xml:space="preserve">) for as long as (</w:t>
      </w:r>
      <w:r>
        <w:rPr>
          <w:i/>
          <w:iCs/>
        </w:rPr>
        <w:t xml:space="preserve">ā</w:t>
      </w:r>
      <w:r>
        <w:t xml:space="preserve">) the earth (</w:t>
      </w:r>
      <w:r>
        <w:rPr>
          <w:i/>
          <w:iCs/>
        </w:rPr>
        <w:t xml:space="preserve">bhuvaḥ</w:t>
      </w:r>
      <w:r>
        <w:t xml:space="preserve">) perdures (</w:t>
      </w:r>
      <w:r>
        <w:rPr>
          <w:i/>
          <w:iCs/>
        </w:rPr>
        <w:t xml:space="preserve">sthiteḥ</w:t>
      </w:r>
      <w:r>
        <w:t xml:space="preserve">).</w:t>
      </w:r>
    </w:p>
    <w:p>
      <w:pPr>
        <w:pStyle w:val="BodyText"/>
      </w:pPr>
      <w:r>
        <w:t xml:space="preserve">5.</w:t>
      </w:r>
    </w:p>
    <w:p>
      <w:pPr>
        <w:pStyle w:val="BodyText"/>
      </w:pPr>
      <w:r>
        <w:t xml:space="preserve">He who, with his own wealth, increases his own or another’s merit⟨orious foundation, on the grounds that such a foundation is⟩ liable to diminish over time, is fit for heaven.</w:t>
      </w:r>
    </w:p>
    <w:p>
      <w:pPr>
        <w:pStyle w:val="Heading1"/>
      </w:pPr>
      <w:r>
        <w:t xml:space="preserve">Bibliography</w:t>
      </w:r>
    </w:p>
    <w:p>
      <w:pPr>
        <w:pStyle w:val="FirstParagraph"/>
      </w:pPr>
      <w:r>
        <w:t xml:space="preserve">First edited by Chhunteng Hun (2018, pp. 44–47) with a Khmer translation; re-edited by Dominic Goodall (2020, pp. 325–343) with an English translation.</w:t>
      </w:r>
    </w:p>
    <w:p>
      <w:pPr>
        <w:pStyle w:val="Heading2"/>
      </w:pPr>
      <w:r>
        <w:t xml:space="preserve">Primary</w:t>
      </w:r>
    </w:p>
    <w:p>
      <w:pPr>
        <w:pStyle w:val="FirstParagraph"/>
      </w:pPr>
      <w:r>
        <w:rPr>
          <w:b/>
          <w:bCs/>
        </w:rPr>
        <w:t xml:space="preserve">[DG]</w:t>
      </w:r>
      <w:r>
        <w:t xml:space="preserve"> </w:t>
      </w:r>
      <w:r>
        <w:t xml:space="preserve">Goodall, Dominic. 2020. “Nandirāśi’s Pāśupata Monastery: K. 1352 (590</w:t>
      </w:r>
      <w:r>
        <w:t xml:space="preserve"> </w:t>
      </w:r>
      <w:r>
        <w:rPr>
          <w:i/>
          <w:iCs/>
        </w:rPr>
        <w:t xml:space="preserve">śaka</w:t>
      </w:r>
      <w:r>
        <w:t xml:space="preserve">), a non-royal Sanskrit Inscription in Kampot from the reign of Jayavarman I.” In:</w:t>
      </w:r>
      <w:r>
        <w:t xml:space="preserve"> </w:t>
      </w:r>
      <w:r>
        <w:rPr>
          <w:i/>
          <w:iCs/>
        </w:rPr>
        <w:t xml:space="preserve">LIBER AMICORUM Mélanges réunis en hommage à / in honor of Ang Chouléan</w:t>
      </w:r>
      <w:r>
        <w:t xml:space="preserve">. Edited by Grégory Mikaelian, Sophearith Siyonn &amp; Ashley Thompson. Paris, Phnom Penh: Péninsule / Association des Amis de Yosothor, pp. 325–343.</w:t>
      </w:r>
      <w:r>
        <w:t xml:space="preserve"> </w:t>
      </w:r>
      <w:hyperlink r:id="rId10">
        <w:r>
          <w:rPr>
            <w:rStyle w:val="Hyperlink"/>
          </w:rPr>
          <w:t xml:space="preserve">[URL]</w:t>
        </w:r>
      </w:hyperlink>
      <w:r>
        <w:t xml:space="preserve">. Pages 325–343.</w:t>
      </w:r>
    </w:p>
    <w:p>
      <w:pPr>
        <w:pStyle w:val="BodyText"/>
      </w:pPr>
      <w:r>
        <w:rPr>
          <w:b/>
          <w:bCs/>
        </w:rPr>
        <w:t xml:space="preserve">[CH]</w:t>
      </w:r>
      <w:r>
        <w:t xml:space="preserve"> </w:t>
      </w:r>
      <w:r>
        <w:t xml:space="preserve">Hun, Chhunteng. 2018. “សិលាចារឹកទួលអង្គជីឆ្មារ K. 1352 [Inscription of Tuol Ang Chi Chhmar K. 1352].”</w:t>
      </w:r>
      <w:r>
        <w:t xml:space="preserve"> </w:t>
      </w:r>
      <w:r>
        <w:rPr>
          <w:i/>
          <w:iCs/>
        </w:rPr>
        <w:t xml:space="preserve">Kambuja Suriyā</w:t>
      </w:r>
      <w:r>
        <w:t xml:space="preserve"> </w:t>
      </w:r>
      <w:r>
        <w:t xml:space="preserve">(4), pp. 44–47.</w:t>
      </w:r>
      <w:r>
        <w:t xml:space="preserve"> </w:t>
      </w:r>
      <w:hyperlink r:id="rId11">
        <w:r>
          <w:rPr>
            <w:rStyle w:val="Hyperlink"/>
          </w:rPr>
          <w:t xml:space="preserve">[URL]</w:t>
        </w:r>
      </w:hyperlink>
      <w:r>
        <w:t xml:space="preserve">. Pages 44–47.</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0" Target="https://hal.science/hal-03132837v1" TargetMode="External" /><Relationship Type="http://schemas.openxmlformats.org/officeDocument/2006/relationships/hyperlink" Id="rId11" Target="https://sharedocs.huma-num.fr/wl/?id=LkEg4bG5xgdEtnascveV5xDudc1NEjRR"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0" Target="https://hal.science/hal-03132837v1" TargetMode="External" /><Relationship Type="http://schemas.openxmlformats.org/officeDocument/2006/relationships/hyperlink" Id="rId11" Target="https://sharedocs.huma-num.fr/wl/?id=LkEg4bG5xgdEtnascveV5xDudc1NEjRR"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1352. Stela of Tuol Ang Chi Chmar, 590 Śaka</dc:title>
  <dc:creator>Kunthea Chhom, Arlo Griffiths, Dominic Goodall and Chhunteng Hun</dc:creator>
  <cp:keywords/>
  <dcterms:created xsi:type="dcterms:W3CDTF">2026-10-26T16:57:21Z</dcterms:created>
  <dcterms:modified xsi:type="dcterms:W3CDTF">2026-10-26T16:57:21Z</dcterms:modified>
</cp:coreProperties>
</file>

<file path=docProps/custom.xml><?xml version="1.0" encoding="utf-8"?>
<Properties xmlns="http://schemas.openxmlformats.org/officeDocument/2006/custom-properties" xmlns:vt="http://schemas.openxmlformats.org/officeDocument/2006/docPropsVTypes"/>
</file>