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1259. Doorjamb from Phum Dong, 7th-8th centuries CE</w:t>
      </w:r>
    </w:p>
    <w:p>
      <w:pPr>
        <w:pStyle w:val="Author"/>
      </w:pPr>
      <w:r>
        <w:t xml:space="preserve">Kunthea Chhom, Gerdi Gerschheimer, Dominique Soutif and Chhunteng Hun</w:t>
      </w:r>
    </w:p>
    <w:p>
      <w:pPr>
        <w:pStyle w:val="FirstParagraph"/>
      </w:pPr>
      <w:r>
        <w:t xml:space="preserve">Authors of digital edition: Kunthea Chhom, Gerdi Gerschheimer, Dominique Soutif, Chhunteng Hun</w:t>
      </w:r>
    </w:p>
    <w:p>
      <w:pPr>
        <w:pStyle w:val="BodyText"/>
      </w:pPr>
      <w:r>
        <w:t xml:space="preserve">Identifier: DHARMA_INSCIK01259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texts/xml/DHARMA_INSCIK01259.xml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seventh-eighth centuries CE. The last two lines were written after a space of one line; they might have been added later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jmaḥ ge kñuṁ man· kurāk· bhīmapura Oy· Ai ta vraḥ kamratāṅ· (A)[ñ· śrī]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prabhāsasomeśvara ge ta pamre kaṁluṅ· Aṅgaṇa ghoda vā vajra [2+] [I]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vā Aṣ(d)amī I vā navamī I vā tyāk· I vā śivadāsa I vā śaṅkaradāsa I kāṇa I caṁda[k·]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vā rudradāsa I vā devadāsa I vā jākukaḥ I vā knoc· I vā dharmadāsa I [vā] 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bhudāsa I vā Īśvaradāsa I vā can·Er· I vā kroṁ I vā bhadra I vā cancān· I vā caṁ[1+]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vraḥ I vā can·Er· I vā kdan· I vā Asarū I vā kandok· I vā pās· dulaṅ· I ge 20 IIII pe(dā)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cmuḥ ka vraḥ Urvaśī I tpit· I smau I tlos· I taṅ·ku I tṅā I Ar·Ir· I vñau I vrau I A</w:t>
      </w:r>
      <w:r>
        <w:rPr>
          <w:rStyle w:val="ColorGray"/>
        </w:rPr>
        <w:t xml:space="preserve">⟨8⟩</w:t>
      </w:r>
      <w:r>
        <w:t xml:space="preserve">n·lik· I kr̥ṣṇāṅgī I ratnaśrīya I Abhinavaśriya I k(v)uṅ· I menakā I [2+]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varāṅgī I salonamukhī I mālikā I prabhāvatī I dharmaśrīya I śubhāṅgī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raṅgaśriya I mālatī I dradās· I tEt· I ge 20 6 taṁve sre ghoda 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vā kmer· I vā vrai I vā kuṭila I vā tmāṅ· I vā kan·As· I vā A</w:t>
      </w:r>
      <w:r>
        <w:rPr>
          <w:rStyle w:val="ColorGray"/>
        </w:rPr>
        <w:t xml:space="preserve">⟨12⟩</w:t>
      </w:r>
      <w:r>
        <w:t xml:space="preserve">gat· I vā stoy· I vā vñau I vā kanseṅ· I vā tpañ· I vā tṅā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vā saṁtoḥ I vā pravai kathā I vā kcāl· I vā paṭola I vā tgar·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vā tpit· I vā khaṇdaruppa I vā can·cān· I vā juṅā I vā vajra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⟨15⟩</w:t>
      </w:r>
      <w:r>
        <w:rPr>
          <w:rStyle w:val="ColorGray"/>
        </w:rPr>
        <w:t xml:space="preserve"> </w:t>
      </w:r>
      <w:r>
        <w:t xml:space="preserve">vā kaṁpus· I vā taṁrus· I vā tlac· I vā pūrṇṇamī I vā An·-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riṅ· I vā śūrapāla I vā tEt· I vā Agāt· I vā h(v/c)ā(t/k)(·) dey·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vā kaṁpoñ· I ◦ ge 20 10 I ◦ qnak kantai ◦ kaṁpus· I kon· II paṅ·</w:t>
      </w:r>
      <w:r>
        <w:rPr>
          <w:rStyle w:val="ColorGray"/>
        </w:rPr>
        <w:t xml:space="preserve">⟨18⟩</w:t>
      </w:r>
      <w:r>
        <w:t xml:space="preserve">haṅ· I tkaḥ I kandin· I kon· I kañe I kon· I kaṁvau I kon· I A</w:t>
      </w:r>
      <w:r>
        <w:rPr>
          <w:rStyle w:val="ColorGray"/>
        </w:rPr>
        <w:t xml:space="preserve">⟨19⟩</w:t>
      </w:r>
      <w:r>
        <w:t xml:space="preserve">ntis· I kon· I soc· nā pāp· I kon· I padmaśrīya I stoy·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slā vrai I raṁpat· I taEt· I qnak· vrai I saṁtoḥ I kon· I Asaru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Aṁvau I lavaṅ· I lkāy· I ladoṅ· I kon· II da[ṁ]hveṅ· I lava</w:t>
      </w:r>
      <w:r>
        <w:rPr>
          <w:rStyle w:val="ColorGray"/>
        </w:rPr>
        <w:t xml:space="preserve">⟨22⟩</w:t>
      </w:r>
      <w:r>
        <w:t xml:space="preserve">ṅ· sin· I kveḥ I Añjo pi sralañ· I kon· I smau I syāṁ I kman·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⟨23⟩</w:t>
      </w:r>
      <w:r>
        <w:rPr>
          <w:rStyle w:val="ColorGray"/>
        </w:rPr>
        <w:t xml:space="preserve"> </w:t>
      </w:r>
      <w:r>
        <w:t xml:space="preserve">lavaṅ· joṅ· I kon· I vñau I kon· III treṁ I kon· III ldoṅ·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⟨24⟩</w:t>
      </w:r>
      <w:r>
        <w:rPr>
          <w:rStyle w:val="ColorGray"/>
        </w:rPr>
        <w:t xml:space="preserve"> </w:t>
      </w:r>
      <w:r>
        <w:t xml:space="preserve">sin· I kajuṅ· I taṁrus· I kon· I Anāda I kon· I Asarū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⟨25⟩</w:t>
      </w:r>
      <w:r>
        <w:rPr>
          <w:rStyle w:val="ColorGray"/>
        </w:rPr>
        <w:t xml:space="preserve"> </w:t>
      </w:r>
      <w:r>
        <w:t xml:space="preserve">kon· I cpoṅ· I kon· I Asarū sin· I kon· II laye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kdoc· I kon· II Anrok· I tpit· I lvā I ge 60 8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k(u) lvar· I kon· ku II tel· mratāñ· jayodvala Oy· pan·</w:t>
      </w:r>
      <w:r>
        <w:rPr>
          <w:rStyle w:val="ColorGray"/>
        </w:rPr>
        <w:t xml:space="preserve">⟨28⟩</w:t>
      </w:r>
      <w:r>
        <w:t xml:space="preserve">las· ge ta tel· Oy· ta śilpī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jmaḥ ge ⬦</w:t>
      </w:r>
      <w:r>
        <w:t xml:space="preserve"> </w:t>
      </w:r>
      <w:r>
        <w:rPr>
          <w:rStyle w:val="ColorGreen"/>
          <w:i/>
          <w:iCs/>
        </w:rPr>
        <w:t xml:space="preserve">jma(ḥ) g(e)</w:t>
      </w:r>
      <w:r>
        <w:t xml:space="preserve"> </w:t>
      </w:r>
      <w:r>
        <w:t xml:space="preserve">CH.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kñuṁ ⬦</w:t>
      </w:r>
      <w:r>
        <w:t xml:space="preserve"> </w:t>
      </w:r>
      <w:r>
        <w:rPr>
          <w:rStyle w:val="ColorGreen"/>
          <w:i/>
          <w:iCs/>
        </w:rPr>
        <w:t xml:space="preserve">kñ</w:t>
      </w:r>
      <w:r>
        <w:rPr>
          <w:rStyle w:val="ColorRed"/>
          <w:i/>
          <w:iCs/>
        </w:rPr>
        <w:t xml:space="preserve">¿a?</w:t>
      </w:r>
      <w:r>
        <w:rPr>
          <w:rStyle w:val="ColorGreen"/>
          <w:i/>
          <w:iCs/>
        </w:rPr>
        <w:t xml:space="preserve">⟨u⟩</w:t>
      </w:r>
      <w:r>
        <w:rPr>
          <w:rStyle w:val="ColorGreen"/>
          <w:i/>
          <w:iCs/>
        </w:rPr>
        <w:t xml:space="preserve">ṁ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Aṣ(d)amī ⬦</w:t>
      </w:r>
      <w:r>
        <w:t xml:space="preserve"> </w:t>
      </w:r>
      <w:r>
        <w:rPr>
          <w:rStyle w:val="ColorGreen"/>
          <w:i/>
          <w:iCs/>
        </w:rPr>
        <w:t xml:space="preserve">Aṣṭamī</w:t>
      </w:r>
      <w:r>
        <w:t xml:space="preserve"> </w:t>
      </w:r>
      <w:r>
        <w:t xml:space="preserve">CH.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t xml:space="preserve">caṁda[k·] [1+] ⬦</w:t>
      </w:r>
      <w:r>
        <w:t xml:space="preserve"> </w:t>
      </w:r>
      <w:r>
        <w:rPr>
          <w:rStyle w:val="ColorGreen"/>
          <w:i/>
          <w:iCs/>
        </w:rPr>
        <w:t xml:space="preserve">caṁda[k· vraḥ I]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[vā] [1+] ⬦</w:t>
      </w:r>
      <w:r>
        <w:t xml:space="preserve"> </w:t>
      </w:r>
      <w:r>
        <w:rPr>
          <w:rStyle w:val="ColorGreen"/>
          <w:i/>
          <w:iCs/>
        </w:rPr>
        <w:t xml:space="preserve">[vā śaṁ]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caṁ[1+] ⬦</w:t>
      </w:r>
      <w:r>
        <w:t xml:space="preserve"> </w:t>
      </w:r>
      <w:r>
        <w:rPr>
          <w:rStyle w:val="ColorGreen"/>
          <w:i/>
          <w:iCs/>
        </w:rPr>
        <w:t xml:space="preserve">caṁ[dak·]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kdan· ⬦</w:t>
      </w:r>
      <w:r>
        <w:t xml:space="preserve"> </w:t>
      </w:r>
      <w:r>
        <w:rPr>
          <w:rStyle w:val="ColorGreen"/>
          <w:i/>
          <w:iCs/>
        </w:rPr>
        <w:t xml:space="preserve">kan·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20 6 ⬦</w:t>
      </w:r>
      <w:r>
        <w:t xml:space="preserve"> </w:t>
      </w:r>
      <w:r>
        <w:rPr>
          <w:rStyle w:val="ColorGreen"/>
          <w:i/>
          <w:iCs/>
        </w:rPr>
        <w:t xml:space="preserve">20 7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⟨14⟩</w:t>
      </w:r>
      <w:r>
        <w:t xml:space="preserve"> </w:t>
      </w:r>
      <w:r>
        <w:t xml:space="preserve">khaṇdaruppa ⬦</w:t>
      </w:r>
      <w:r>
        <w:t xml:space="preserve"> </w:t>
      </w:r>
      <w:r>
        <w:rPr>
          <w:rStyle w:val="ColorGreen"/>
          <w:i/>
          <w:iCs/>
        </w:rPr>
        <w:t xml:space="preserve">khaṇḍaruppa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⟨16⟩</w:t>
      </w:r>
      <w:r>
        <w:t xml:space="preserve"> </w:t>
      </w:r>
      <w:r>
        <w:t xml:space="preserve">Agāt· ⬦</w:t>
      </w:r>
      <w:r>
        <w:t xml:space="preserve"> </w:t>
      </w:r>
      <w:r>
        <w:rPr>
          <w:rStyle w:val="ColorGreen"/>
          <w:i/>
          <w:iCs/>
        </w:rPr>
        <w:t xml:space="preserve">Agat·</w:t>
      </w:r>
      <w:r>
        <w:t xml:space="preserve"> </w:t>
      </w:r>
      <w:r>
        <w:t xml:space="preserve">CH. —</w:t>
      </w:r>
      <w:r>
        <w:t xml:space="preserve"> </w:t>
      </w:r>
      <w:r>
        <w:rPr>
          <w:rStyle w:val="ColorGray"/>
        </w:rPr>
        <w:t xml:space="preserve">⟨16⟩</w:t>
      </w:r>
      <w:r>
        <w:t xml:space="preserve"> </w:t>
      </w:r>
      <w:r>
        <w:t xml:space="preserve">h(v/c)ā(t/k)(·) ⬦</w:t>
      </w:r>
      <w:r>
        <w:t xml:space="preserve"> </w:t>
      </w:r>
      <w:r>
        <w:rPr>
          <w:rStyle w:val="ColorGreen"/>
          <w:i/>
          <w:iCs/>
        </w:rPr>
        <w:t xml:space="preserve">hvāk·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⟨18⟩</w:t>
      </w:r>
      <w:r>
        <w:t xml:space="preserve"> </w:t>
      </w:r>
      <w:r>
        <w:t xml:space="preserve">haṅ· ⬦</w:t>
      </w:r>
      <w:r>
        <w:t xml:space="preserve"> </w:t>
      </w:r>
      <w:r>
        <w:rPr>
          <w:rStyle w:val="ColorGreen"/>
          <w:i/>
          <w:iCs/>
        </w:rPr>
        <w:t xml:space="preserve">lāṅ·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⟨19⟩</w:t>
      </w:r>
      <w:r>
        <w:t xml:space="preserve"> </w:t>
      </w:r>
      <w:r>
        <w:t xml:space="preserve">pāp· ⬦</w:t>
      </w:r>
      <w:r>
        <w:t xml:space="preserve"> </w:t>
      </w:r>
      <w:r>
        <w:rPr>
          <w:rStyle w:val="ColorGreen"/>
          <w:i/>
          <w:iCs/>
        </w:rPr>
        <w:t xml:space="preserve">pāpa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⟨21⟩</w:t>
      </w:r>
      <w:r>
        <w:t xml:space="preserve"> </w:t>
      </w:r>
      <w:r>
        <w:t xml:space="preserve">ladoṅ· ⬦</w:t>
      </w:r>
      <w:r>
        <w:t xml:space="preserve"> </w:t>
      </w:r>
      <w:r>
        <w:rPr>
          <w:rStyle w:val="ColorGreen"/>
          <w:i/>
          <w:iCs/>
        </w:rPr>
        <w:t xml:space="preserve">laṁdoṅ·</w:t>
      </w:r>
      <w:r>
        <w:t xml:space="preserve"> </w:t>
      </w:r>
      <w:r>
        <w:t xml:space="preserve">CH. —</w:t>
      </w:r>
      <w:r>
        <w:t xml:space="preserve"> </w:t>
      </w:r>
      <w:r>
        <w:rPr>
          <w:rStyle w:val="ColorGray"/>
        </w:rPr>
        <w:t xml:space="preserve">⟨21⟩</w:t>
      </w:r>
      <w:r>
        <w:t xml:space="preserve"> </w:t>
      </w:r>
      <w:r>
        <w:t xml:space="preserve">da[ṁ]hveṅ· ⬦</w:t>
      </w:r>
      <w:r>
        <w:t xml:space="preserve"> </w:t>
      </w:r>
      <w:r>
        <w:rPr>
          <w:rStyle w:val="ColorGreen"/>
          <w:i/>
          <w:iCs/>
        </w:rPr>
        <w:t xml:space="preserve">dahveṅ·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⟨22⟩</w:t>
      </w:r>
      <w:r>
        <w:t xml:space="preserve"> </w:t>
      </w:r>
      <w:r>
        <w:t xml:space="preserve">syāṁ ⬦</w:t>
      </w:r>
      <w:r>
        <w:t xml:space="preserve"> </w:t>
      </w:r>
      <w:r>
        <w:rPr>
          <w:rStyle w:val="ColorGreen"/>
          <w:i/>
          <w:iCs/>
        </w:rPr>
        <w:t xml:space="preserve">syaṁ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⟨24⟩</w:t>
      </w:r>
      <w:r>
        <w:t xml:space="preserve"> </w:t>
      </w:r>
      <w:r>
        <w:t xml:space="preserve">kajuṅ· ⬦</w:t>
      </w:r>
      <w:r>
        <w:t xml:space="preserve"> </w:t>
      </w:r>
      <w:r>
        <w:rPr>
          <w:rStyle w:val="ColorGreen"/>
          <w:i/>
          <w:iCs/>
        </w:rPr>
        <w:t xml:space="preserve">ka(ṁ)juṅ·</w:t>
      </w:r>
      <w:r>
        <w:t xml:space="preserve"> </w:t>
      </w:r>
      <w:r>
        <w:t xml:space="preserve">CH.</w:t>
      </w:r>
    </w:p>
    <w:p>
      <w:pPr>
        <w:pStyle w:val="BodyText"/>
      </w:pPr>
      <w:r>
        <w:rPr>
          <w:rStyle w:val="ColorGray"/>
        </w:rPr>
        <w:t xml:space="preserve">⟨27⟩</w:t>
      </w:r>
      <w:r>
        <w:t xml:space="preserve"> </w:t>
      </w:r>
      <w:r>
        <w:t xml:space="preserve">k(u) ⬦</w:t>
      </w:r>
      <w:r>
        <w:t xml:space="preserve"> </w:t>
      </w:r>
      <w:r>
        <w:rPr>
          <w:rStyle w:val="ColorGreen"/>
          <w:i/>
          <w:iCs/>
        </w:rPr>
        <w:t xml:space="preserve">ku</w:t>
      </w:r>
      <w:r>
        <w:t xml:space="preserve"> </w:t>
      </w:r>
      <w:r>
        <w:t xml:space="preserve">CH.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Chhunteng Hun (N.d., pp. 55–81) with a Khmer translation; re-edited here by Gerdi Gerschheimer and Dominique Soutif based on the estampage EFEO n. 1827.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[CH]</w:t>
      </w:r>
      <w:r>
        <w:t xml:space="preserve"> </w:t>
      </w:r>
      <w:r>
        <w:t xml:space="preserve">Hun, Chhunteng. N.d. “សិលាចារឹកភូមិដូង K. 1259 [silācārịk bhūmi ṭūṅ K. 1259] [Inscription of Dong Village K. 1259].”</w:t>
      </w:r>
      <w:r>
        <w:t xml:space="preserve"> </w:t>
      </w:r>
      <w:r>
        <w:rPr>
          <w:i/>
          <w:iCs/>
        </w:rPr>
        <w:t xml:space="preserve">Kambuja Suriyā</w:t>
      </w:r>
      <w:r>
        <w:t xml:space="preserve"> </w:t>
      </w:r>
      <w:r>
        <w:t xml:space="preserve">Special volume 2019, pp. 55–81.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Pages 55–81.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sharedocs.huma-num.fr/#/3491/11002/CI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sharedocs.huma-num.fr/#/3491/11002/CIK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1259. Doorjamb from Phum Dong, 7th-8th centuries CE</dc:title>
  <dc:creator>Kunthea Chhom, Gerdi Gerschheimer, Dominique Soutif and Chhunteng Hun</dc:creator>
  <cp:keywords/>
  <dcterms:created xsi:type="dcterms:W3CDTF">2026-10-26T16:57:29Z</dcterms:created>
  <dcterms:modified xsi:type="dcterms:W3CDTF">2026-10-26T16:57:29Z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