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 1237. Stela of unknown provenance, 779 Śaka</w:t>
      </w:r>
      <w:r>
        <w:rPr>
          <w:rStyle w:val="FootnoteReference"/>
        </w:rPr>
        <w:footnoteReference w:id="9"/>
      </w:r>
    </w:p>
    <w:p>
      <w:pPr>
        <w:pStyle w:val="Author"/>
      </w:pPr>
      <w:r>
        <w:t xml:space="preserve">Kunthea Chhom and Arlo Griffiths</w:t>
      </w:r>
    </w:p>
    <w:p>
      <w:pPr>
        <w:pStyle w:val="FirstParagraph"/>
      </w:pPr>
      <w:r>
        <w:t xml:space="preserve">Authors of digital edition: Kunthea Chhom, Arlo Griffiths</w:t>
      </w:r>
    </w:p>
    <w:p>
      <w:pPr>
        <w:pStyle w:val="BodyText"/>
      </w:pPr>
      <w:r>
        <w:t xml:space="preserve">Identifier: DHARMA_INSCIK01237</w:t>
      </w:r>
    </w:p>
    <w:p>
      <w:pPr>
        <w:pStyle w:val="BodyText"/>
      </w:pPr>
      <w:r>
        <w:t xml:space="preserve">Repository: Khmer (tfc-khmer-epigraphy)</w:t>
      </w:r>
    </w:p>
    <w:p>
      <w:pPr>
        <w:pStyle w:val="BodyText"/>
      </w:pPr>
      <w:r>
        <w:t xml:space="preserve">File path: texts/xml/DHARMA_INSCIK01237.xml</w:t>
      </w:r>
    </w:p>
    <w:p>
      <w:pPr>
        <w:pStyle w:val="BodyText"/>
      </w:pPr>
      <w:r>
        <w:t xml:space="preserve">Languages: Old Khmer [Khmer], Sanskrit [Khmer]</w:t>
      </w:r>
    </w:p>
    <w:p>
      <w:pPr>
        <w:pStyle w:val="BodyText"/>
      </w:pPr>
      <w:r>
        <w:t xml:space="preserve">Commit: 2026-11-04 14:13 (9350a79), last modified 2026-09-17 01:54 (2c24a58)</w:t>
      </w:r>
    </w:p>
    <w:p>
      <w:pPr>
        <w:pStyle w:val="Heading1"/>
      </w:pPr>
      <w:r>
        <w:t xml:space="preserve">Palaeographic description</w:t>
      </w:r>
    </w:p>
    <w:p>
      <w:pPr>
        <w:pStyle w:val="FirstParagraph"/>
      </w:pPr>
      <w:r>
        <w:t xml:space="preserve">The lettering is characteristic of the eleventh-twelfth century CE.</w:t>
      </w:r>
    </w:p>
    <w:p>
      <w:r>
        <w:pict>
          <v:rect style="width:0;height:1.5pt" o:hralign="center" o:hrstd="t" o:hr="t"/>
        </w:pict>
      </w:r>
    </w:p>
    <w:p>
      <w:pPr>
        <w:pStyle w:val="Heading1"/>
      </w:pPr>
      <w:r>
        <w:t xml:space="preserve">Edition</w:t>
      </w:r>
    </w:p>
    <w:p>
      <w:pPr>
        <w:pStyle w:val="Heading2"/>
      </w:pPr>
      <w:r>
        <w:t xml:space="preserve">Face</w:t>
      </w:r>
    </w:p>
    <w:p>
      <w:pPr>
        <w:pStyle w:val="FirstParagraph"/>
      </w:pPr>
      <w:r>
        <w:rPr>
          <w:rStyle w:val="ColorGray"/>
        </w:rPr>
        <w:t xml:space="preserve"> </w:t>
      </w:r>
      <w:r>
        <w:rPr>
          <w:rStyle w:val="ColorGray"/>
        </w:rPr>
        <w:t xml:space="preserve">⟨A1⟩</w:t>
      </w:r>
      <w:r>
        <w:rPr>
          <w:rStyle w:val="ColorGray"/>
        </w:rPr>
        <w:t xml:space="preserve"> </w:t>
      </w:r>
      <w:r>
        <w:t xml:space="preserve">⁜∥ 779 śaka Ekādaś(ī) roc· māgha nu mratāñ· śri bhūpendrasi</w:t>
      </w:r>
      <w:r>
        <w:rPr>
          <w:rStyle w:val="ColorGray"/>
        </w:rPr>
        <w:t xml:space="preserve">⟨A2⟩</w:t>
      </w:r>
      <w:r>
        <w:t xml:space="preserve">ṅha nu steṅ· Añ· Ācāryya Addhyā</w:t>
      </w:r>
      <w:r>
        <w:rPr>
          <w:rStyle w:val="ColorMagenta"/>
        </w:rPr>
        <w:t xml:space="preserve">¡pa!</w:t>
      </w:r>
      <w:r>
        <w:rPr>
          <w:rStyle w:val="ColorBlue"/>
        </w:rPr>
        <w:t xml:space="preserve">⟨paka⟩</w:t>
      </w:r>
      <w:r>
        <w:t xml:space="preserve"> </w:t>
      </w:r>
      <w:r>
        <w:t xml:space="preserve">vraḥ laṁvāṅ· paṅgaṁ thpvaṅ· ni</w:t>
      </w:r>
      <w:r>
        <w:rPr>
          <w:rStyle w:val="ColorGray"/>
        </w:rPr>
        <w:t xml:space="preserve">⟨A3⟩</w:t>
      </w:r>
      <w:r>
        <w:t xml:space="preserve">vedana ta dhūlī vraḥ pāda dhūli jeṅ· vraḥ kamrateṅ· Añ· ta</w:t>
      </w:r>
      <w:r>
        <w:rPr>
          <w:rStyle w:val="ColorGray"/>
        </w:rPr>
        <w:t xml:space="preserve"> </w:t>
      </w:r>
      <w:r>
        <w:rPr>
          <w:rStyle w:val="ColorGray"/>
        </w:rPr>
        <w:t xml:space="preserve">⟨A4⟩</w:t>
      </w:r>
      <w:r>
        <w:rPr>
          <w:rStyle w:val="ColorGray"/>
        </w:rPr>
        <w:t xml:space="preserve"> </w:t>
      </w:r>
      <w:r>
        <w:t xml:space="preserve">s(t)āc· dau parameśvara man· vraḥ kamrateṅ· Añ· śivalīṅga Ā</w:t>
      </w:r>
      <w:r>
        <w:rPr>
          <w:rStyle w:val="ColorGray"/>
        </w:rPr>
        <w:t xml:space="preserve">⟨A5⟩</w:t>
      </w:r>
      <w:r>
        <w:t xml:space="preserve">[y·] rāṁ pi leṅ· sāka nu vraḥ setā nadiya punya nai vraḥ dharmma</w:t>
      </w:r>
      <w:r>
        <w:rPr>
          <w:rStyle w:val="ColorGray"/>
        </w:rPr>
        <w:t xml:space="preserve"> </w:t>
      </w:r>
      <w:r>
        <w:rPr>
          <w:rStyle w:val="ColorGray"/>
        </w:rPr>
        <w:t xml:space="preserve">⟨A6⟩</w:t>
      </w:r>
      <w:r>
        <w:rPr>
          <w:rStyle w:val="ColorGray"/>
        </w:rPr>
        <w:t xml:space="preserve"> </w:t>
      </w:r>
      <w:r>
        <w:t xml:space="preserve">pramān· śrindrapura man· dhūlī vraḥ pāda dhūli jeṅ· vraḥ kamrate</w:t>
      </w:r>
      <w:r>
        <w:rPr>
          <w:rStyle w:val="ColorGray"/>
        </w:rPr>
        <w:t xml:space="preserve">⟨A7⟩</w:t>
      </w:r>
      <w:r>
        <w:t xml:space="preserve">ṅ· Añ· ta stāc· dau parameśvara Unmila jvan· khñuṁ • varṇṇa taṁvon· mūla</w:t>
      </w:r>
      <w:r>
        <w:rPr>
          <w:rStyle w:val="ColorGray"/>
        </w:rPr>
        <w:t xml:space="preserve"> </w:t>
      </w:r>
      <w:r>
        <w:rPr>
          <w:rStyle w:val="ColorGray"/>
        </w:rPr>
        <w:t xml:space="preserve">⟨A8⟩</w:t>
      </w:r>
      <w:r>
        <w:rPr>
          <w:rStyle w:val="ColorGray"/>
        </w:rPr>
        <w:t xml:space="preserve"> </w:t>
      </w:r>
      <w:r>
        <w:t xml:space="preserve">mvāya śarāsa mūla mvāya vraḥ pāda ta stāc· dau vīṣṇuloka thve</w:t>
      </w:r>
      <w:r>
        <w:rPr>
          <w:rStyle w:val="ColorGray"/>
        </w:rPr>
        <w:t xml:space="preserve"> </w:t>
      </w:r>
      <w:r>
        <w:rPr>
          <w:rStyle w:val="ColorGray"/>
        </w:rPr>
        <w:t xml:space="preserve">⟨A9⟩</w:t>
      </w:r>
      <w:r>
        <w:rPr>
          <w:rStyle w:val="ColorGray"/>
        </w:rPr>
        <w:t xml:space="preserve"> </w:t>
      </w:r>
      <w:r>
        <w:t xml:space="preserve">pūjā Oy· piṅ· vraḥ kaṁvaṅ· khṇar· kaṁvaṅ· tadiṅ· mukhadvāra</w:t>
      </w:r>
      <w:r>
        <w:t xml:space="preserve"> </w:t>
      </w:r>
      <w:r>
        <w:rPr>
          <w:rStyle w:val="ColorRed"/>
        </w:rPr>
        <w:t xml:space="preserve">¿kavaṅ·?</w:t>
      </w:r>
      <w:r>
        <w:rPr>
          <w:rStyle w:val="ColorGreen"/>
        </w:rPr>
        <w:t xml:space="preserve">⟨kaṁvaṅ·⟩</w:t>
      </w:r>
      <w:r>
        <w:t xml:space="preserve"> </w:t>
      </w:r>
      <w:r>
        <w:t xml:space="preserve">tadiṅ·</w:t>
      </w:r>
      <w:r>
        <w:rPr>
          <w:rStyle w:val="ColorGray"/>
        </w:rPr>
        <w:t xml:space="preserve"> </w:t>
      </w:r>
      <w:r>
        <w:rPr>
          <w:rStyle w:val="ColorGray"/>
        </w:rPr>
        <w:t xml:space="preserve">⟨A10⟩</w:t>
      </w:r>
      <w:r>
        <w:rPr>
          <w:rStyle w:val="ColorGray"/>
        </w:rPr>
        <w:t xml:space="preserve"> </w:t>
      </w:r>
      <w:r>
        <w:t xml:space="preserve">trāp· toy· nu vrai dīvasa trāp· toy· Ukka nā tandula</w:t>
      </w:r>
      <w:r>
        <w:rPr>
          <w:rStyle w:val="ColorGray"/>
        </w:rPr>
        <w:t xml:space="preserve"> </w:t>
      </w:r>
      <w:r>
        <w:rPr>
          <w:rStyle w:val="ColorGray"/>
        </w:rPr>
        <w:t xml:space="preserve">⟨A11⟩</w:t>
      </w:r>
      <w:r>
        <w:rPr>
          <w:rStyle w:val="ColorGray"/>
        </w:rPr>
        <w:t xml:space="preserve"> </w:t>
      </w:r>
      <w:r>
        <w:t xml:space="preserve">pre chkop· je I pratidina vvaṁ ti pre sutantra ta khloñ· srū khlo</w:t>
      </w:r>
      <w:r>
        <w:rPr>
          <w:rStyle w:val="ColorGray"/>
        </w:rPr>
        <w:t xml:space="preserve">⟨A12⟩</w:t>
      </w:r>
      <w:r>
        <w:t xml:space="preserve">ñ· viṣaya khloñ· kandvāra vrai khloñ· vriha paryyaṅ· vvaṁ jā pī mān·</w:t>
      </w:r>
      <w:r>
        <w:rPr>
          <w:rStyle w:val="ColorGray"/>
        </w:rPr>
        <w:t xml:space="preserve"> </w:t>
      </w:r>
      <w:r>
        <w:rPr>
          <w:rStyle w:val="ColorGray"/>
        </w:rPr>
        <w:t xml:space="preserve">⟨A13⟩</w:t>
      </w:r>
      <w:r>
        <w:rPr>
          <w:rStyle w:val="ColorGray"/>
        </w:rPr>
        <w:t xml:space="preserve"> </w:t>
      </w:r>
      <w:r>
        <w:t xml:space="preserve">rājakāryya thve devakāryya gus· kalpanā ta bhagavan· purohita</w:t>
      </w:r>
      <w:r>
        <w:rPr>
          <w:rStyle w:val="ColorGray"/>
        </w:rPr>
        <w:t xml:space="preserve"> </w:t>
      </w:r>
      <w:r>
        <w:rPr>
          <w:rStyle w:val="ColorGray"/>
        </w:rPr>
        <w:t xml:space="preserve">⟨A14⟩</w:t>
      </w:r>
      <w:r>
        <w:rPr>
          <w:rStyle w:val="ColorGray"/>
        </w:rPr>
        <w:t xml:space="preserve"> </w:t>
      </w:r>
      <w:r>
        <w:t xml:space="preserve">chmāṁ thnyak· II tap· hat· yo II neḥ gi roḥ kalpanā vraḥ pāda ta stā</w:t>
      </w:r>
      <w:r>
        <w:rPr>
          <w:rStyle w:val="ColorGray"/>
        </w:rPr>
        <w:t xml:space="preserve">⟨A15⟩</w:t>
      </w:r>
      <w:r>
        <w:t xml:space="preserve">c· dau parameśvara nu vraḥ pāda ta stāc· dau viṣṇuloka • vraḥ pāda</w:t>
      </w:r>
      <w:r>
        <w:rPr>
          <w:rStyle w:val="ColorGray"/>
        </w:rPr>
        <w:t xml:space="preserve"> </w:t>
      </w:r>
      <w:r>
        <w:rPr>
          <w:rStyle w:val="ColorGray"/>
        </w:rPr>
        <w:t xml:space="preserve">⟨A16⟩</w:t>
      </w:r>
      <w:r>
        <w:rPr>
          <w:rStyle w:val="ColorGray"/>
        </w:rPr>
        <w:t xml:space="preserve"> </w:t>
      </w:r>
      <w:r>
        <w:t xml:space="preserve">ta stāc· dau paramaśivaloka thve pūjā pre taṁgal· (k)alpanā roḥ</w:t>
      </w:r>
      <w:r>
        <w:rPr>
          <w:rStyle w:val="ColorGray"/>
        </w:rPr>
        <w:t xml:space="preserve">⟨A17⟩</w:t>
      </w:r>
      <w:r>
        <w:t xml:space="preserve">ha noḥha Ukka • man· tamvrac· srū nivedana pi svaṁ kaṁvaṅ· nā phduk·</w:t>
      </w:r>
      <w:r>
        <w:rPr>
          <w:rStyle w:val="ColorGray"/>
        </w:rPr>
        <w:t xml:space="preserve"> </w:t>
      </w:r>
      <w:r>
        <w:rPr>
          <w:rStyle w:val="ColorGray"/>
        </w:rPr>
        <w:t xml:space="preserve">⟨A18⟩</w:t>
      </w:r>
      <w:r>
        <w:rPr>
          <w:rStyle w:val="ColorGray"/>
        </w:rPr>
        <w:t xml:space="preserve"> </w:t>
      </w:r>
      <w:r>
        <w:t xml:space="preserve">bhāga Oy· thmā vraḥ candoṅa Oy· leṅ· mān· toy· cuñ· dvaka</w:t>
      </w:r>
      <w:r>
        <w:rPr>
          <w:rStyle w:val="ColorGray"/>
        </w:rPr>
        <w:t xml:space="preserve"> </w:t>
      </w:r>
      <w:r>
        <w:rPr>
          <w:rStyle w:val="ColorGray"/>
        </w:rPr>
        <w:t xml:space="preserve">⟨A19⟩</w:t>
      </w:r>
      <w:r>
        <w:rPr>
          <w:rStyle w:val="ColorGray"/>
        </w:rPr>
        <w:t xml:space="preserve"> </w:t>
      </w:r>
      <w:r>
        <w:t xml:space="preserve">gus· •</w:t>
      </w:r>
    </w:p>
    <w:p>
      <w:pPr>
        <w:pStyle w:val="Heading2"/>
      </w:pPr>
      <w:r>
        <w:t xml:space="preserve">Face</w:t>
      </w:r>
    </w:p>
    <w:p>
      <w:pPr>
        <w:pStyle w:val="FirstParagraph"/>
      </w:pPr>
      <w:r>
        <w:t xml:space="preserve">1.</w:t>
      </w:r>
      <w:r>
        <w:t xml:space="preserve"> </w:t>
      </w:r>
      <w:hyperlink r:id="rId10">
        <w:r>
          <w:rPr>
            <w:rStyle w:val="Hyperlink"/>
          </w:rPr>
          <w:t xml:space="preserve">Anuṣṭubh</w:t>
        </w:r>
      </w:hyperlink>
    </w:p>
    <w:p>
      <w:pPr>
        <w:pStyle w:val="BodyText"/>
      </w:pPr>
      <w:r>
        <w:rPr>
          <w:rStyle w:val="ColorGray"/>
        </w:rPr>
        <w:t xml:space="preserve">⟨B1⟩</w:t>
      </w:r>
      <w:r>
        <w:rPr>
          <w:rStyle w:val="ColorGray"/>
        </w:rPr>
        <w:t xml:space="preserve"> </w:t>
      </w:r>
      <w:r>
        <w:t xml:space="preserve">yo sau parama-kaivalya-</w:t>
      </w:r>
      <w:r>
        <w:br/>
      </w:r>
      <w:r>
        <w:t xml:space="preserve">-sa(ṁ)yato cañcala-sth(i)t(a)ḥ</w:t>
      </w:r>
      <w:r>
        <w:br/>
      </w:r>
      <w:r>
        <w:rPr>
          <w:rStyle w:val="ColorGray"/>
        </w:rPr>
        <w:t xml:space="preserve">⟨B2⟩</w:t>
      </w:r>
      <w:r>
        <w:rPr>
          <w:rStyle w:val="ColorGray"/>
        </w:rPr>
        <w:t xml:space="preserve"> </w:t>
      </w:r>
      <w:r>
        <w:t xml:space="preserve">jagatāṁ sr̥ṣṭaye sthūlo</w:t>
      </w:r>
      <w:r>
        <w:br/>
      </w:r>
      <w:r>
        <w:t xml:space="preserve">namyatāṁ sa śivaś śivaḥ ∥</w:t>
      </w:r>
    </w:p>
    <w:p>
      <w:pPr>
        <w:pStyle w:val="BodyText"/>
      </w:pPr>
      <w:r>
        <w:t xml:space="preserve">2.</w:t>
      </w:r>
      <w:r>
        <w:t xml:space="preserve"> </w:t>
      </w:r>
      <w:hyperlink r:id="rId10">
        <w:r>
          <w:rPr>
            <w:rStyle w:val="Hyperlink"/>
          </w:rPr>
          <w:t xml:space="preserve">Anuṣṭubh</w:t>
        </w:r>
      </w:hyperlink>
    </w:p>
    <w:p>
      <w:pPr>
        <w:pStyle w:val="BodyText"/>
      </w:pPr>
      <w:r>
        <w:rPr>
          <w:rStyle w:val="ColorGray"/>
        </w:rPr>
        <w:t xml:space="preserve">⟨B3⟩</w:t>
      </w:r>
      <w:r>
        <w:rPr>
          <w:rStyle w:val="ColorGray"/>
        </w:rPr>
        <w:t xml:space="preserve"> </w:t>
      </w:r>
      <w:r>
        <w:t xml:space="preserve">sa ca bhū-tala-bhū-pendra-</w:t>
      </w:r>
      <w:r>
        <w:br/>
      </w:r>
      <w:r>
        <w:t xml:space="preserve">-maulibhir bhūti-vr̥ddhaye</w:t>
      </w:r>
      <w:r>
        <w:br/>
      </w:r>
      <w:r>
        <w:rPr>
          <w:rStyle w:val="ColorGray"/>
        </w:rPr>
        <w:t xml:space="preserve">⟨B4⟩</w:t>
      </w:r>
      <w:r>
        <w:rPr>
          <w:rStyle w:val="ColorGray"/>
        </w:rPr>
        <w:t xml:space="preserve"> </w:t>
      </w:r>
      <w:r>
        <w:t xml:space="preserve">bhaktyoddhr̥ta-pavitrāṅghri-</w:t>
      </w:r>
      <w:r>
        <w:br/>
      </w:r>
      <w:r>
        <w:t xml:space="preserve">-n</w:t>
      </w:r>
      <w:r>
        <w:rPr>
          <w:rStyle w:val="ColorMagenta"/>
        </w:rPr>
        <w:t xml:space="preserve">¡i!</w:t>
      </w:r>
      <w:r>
        <w:rPr>
          <w:rStyle w:val="ColorBlue"/>
        </w:rPr>
        <w:t xml:space="preserve">⟨ī⟩</w:t>
      </w:r>
      <w:r>
        <w:t xml:space="preserve">rajo-</w:t>
      </w:r>
      <w:r>
        <w:rPr>
          <w:rStyle w:val="ColorMagenta"/>
        </w:rPr>
        <w:t xml:space="preserve">¡n!</w:t>
      </w:r>
      <w:r>
        <w:rPr>
          <w:rStyle w:val="ColorBlue"/>
        </w:rPr>
        <w:t xml:space="preserve">⟨nn⟩</w:t>
      </w:r>
      <w:r>
        <w:t xml:space="preserve">idra-n</w:t>
      </w:r>
      <w:r>
        <w:rPr>
          <w:rStyle w:val="ColorMagenta"/>
        </w:rPr>
        <w:t xml:space="preserve">¡i!</w:t>
      </w:r>
      <w:r>
        <w:rPr>
          <w:rStyle w:val="ColorBlue"/>
        </w:rPr>
        <w:t xml:space="preserve">⟨ī⟩</w:t>
      </w:r>
      <w:r>
        <w:t xml:space="preserve">rajaḥ ∥</w:t>
      </w:r>
    </w:p>
    <w:p>
      <w:pPr>
        <w:pStyle w:val="BodyText"/>
      </w:pPr>
      <w:r>
        <w:t xml:space="preserve">3.</w:t>
      </w:r>
      <w:r>
        <w:t xml:space="preserve"> </w:t>
      </w:r>
      <w:hyperlink r:id="rId10">
        <w:r>
          <w:rPr>
            <w:rStyle w:val="Hyperlink"/>
          </w:rPr>
          <w:t xml:space="preserve">Anuṣṭubh</w:t>
        </w:r>
      </w:hyperlink>
    </w:p>
    <w:p>
      <w:pPr>
        <w:pStyle w:val="BodyText"/>
      </w:pPr>
      <w:r>
        <w:rPr>
          <w:rStyle w:val="ColorGray"/>
        </w:rPr>
        <w:t xml:space="preserve">⟨B5⟩</w:t>
      </w:r>
      <w:r>
        <w:rPr>
          <w:rStyle w:val="ColorGray"/>
        </w:rPr>
        <w:t xml:space="preserve"> </w:t>
      </w:r>
      <w:r>
        <w:t xml:space="preserve">devātmanā sa vidyādhi-</w:t>
      </w:r>
      <w:r>
        <w:br/>
      </w:r>
      <w:r>
        <w:t xml:space="preserve">-pativarmma-mahātmanā</w:t>
      </w:r>
      <w:r>
        <w:br/>
      </w:r>
      <w:r>
        <w:rPr>
          <w:rStyle w:val="ColorGray"/>
        </w:rPr>
        <w:t xml:space="preserve">⟨B6⟩</w:t>
      </w:r>
      <w:r>
        <w:rPr>
          <w:rStyle w:val="ColorGray"/>
        </w:rPr>
        <w:t xml:space="preserve"> </w:t>
      </w:r>
      <w:r>
        <w:t xml:space="preserve">śr(ī)sūryyavarmma-bhū-pendr</w:t>
      </w:r>
      <w:r>
        <w:rPr>
          <w:rStyle w:val="ColorMagenta"/>
        </w:rPr>
        <w:t xml:space="preserve">¡a!</w:t>
      </w:r>
      <w:r>
        <w:rPr>
          <w:rStyle w:val="ColorBlue"/>
        </w:rPr>
        <w:t xml:space="preserve">⟨o⟩</w:t>
      </w:r>
      <w:r>
        <w:br/>
      </w:r>
      <w:r>
        <w:t xml:space="preserve">dharmma-niṣṭh</w:t>
      </w:r>
      <w:r>
        <w:rPr>
          <w:rStyle w:val="ColorMagenta"/>
        </w:rPr>
        <w:t xml:space="preserve">¡e!</w:t>
      </w:r>
      <w:r>
        <w:rPr>
          <w:rStyle w:val="ColorBlue"/>
        </w:rPr>
        <w:t xml:space="preserve">⟨o⟩</w:t>
      </w:r>
      <w:r>
        <w:t xml:space="preserve"> </w:t>
      </w:r>
      <w:r>
        <w:t xml:space="preserve">niveditaḥ ∥</w:t>
      </w:r>
    </w:p>
    <w:p>
      <w:pPr>
        <w:pStyle w:val="BodyText"/>
      </w:pPr>
      <w:r>
        <w:t xml:space="preserve">4.</w:t>
      </w:r>
      <w:r>
        <w:t xml:space="preserve"> </w:t>
      </w:r>
      <w:hyperlink r:id="rId10">
        <w:r>
          <w:rPr>
            <w:rStyle w:val="Hyperlink"/>
          </w:rPr>
          <w:t xml:space="preserve">Anuṣṭubh</w:t>
        </w:r>
      </w:hyperlink>
    </w:p>
    <w:p>
      <w:pPr>
        <w:pStyle w:val="BodyText"/>
      </w:pPr>
      <w:r>
        <w:rPr>
          <w:rStyle w:val="ColorGray"/>
        </w:rPr>
        <w:t xml:space="preserve">⟨B7⟩</w:t>
      </w:r>
      <w:r>
        <w:rPr>
          <w:rStyle w:val="ColorGray"/>
        </w:rPr>
        <w:t xml:space="preserve"> </w:t>
      </w:r>
      <w:r>
        <w:t xml:space="preserve">śāsanais sarvva-dharmma-jña-</w:t>
      </w:r>
      <w:r>
        <w:br/>
      </w:r>
      <w:r>
        <w:t xml:space="preserve">-mates tasyāmr̥tādhikaiḥ</w:t>
      </w:r>
      <w:r>
        <w:br/>
      </w:r>
      <w:r>
        <w:rPr>
          <w:rStyle w:val="ColorGray"/>
        </w:rPr>
        <w:t xml:space="preserve">⟨B8⟩</w:t>
      </w:r>
      <w:r>
        <w:rPr>
          <w:rStyle w:val="ColorGray"/>
        </w:rPr>
        <w:t xml:space="preserve"> </w:t>
      </w:r>
      <w:r>
        <w:t xml:space="preserve">de(va-bh)ūmis sadāsaughā</w:t>
      </w:r>
      <w:r>
        <w:br/>
      </w:r>
      <w:r>
        <w:t xml:space="preserve">varjitā v</w:t>
      </w:r>
      <w:r>
        <w:rPr>
          <w:rStyle w:val="ColorMagenta"/>
        </w:rPr>
        <w:t xml:space="preserve">¡a!</w:t>
      </w:r>
      <w:r>
        <w:rPr>
          <w:rStyle w:val="ColorBlue"/>
        </w:rPr>
        <w:t xml:space="preserve">⟨i⟩</w:t>
      </w:r>
      <w:r>
        <w:t xml:space="preserve">ṣayādhipaiḥ ∥</w:t>
      </w:r>
    </w:p>
    <w:p>
      <w:pPr>
        <w:pStyle w:val="BodyText"/>
      </w:pPr>
      <w:r>
        <w:t xml:space="preserve">5.</w:t>
      </w:r>
      <w:r>
        <w:t xml:space="preserve"> </w:t>
      </w:r>
      <w:hyperlink r:id="rId10">
        <w:r>
          <w:rPr>
            <w:rStyle w:val="Hyperlink"/>
          </w:rPr>
          <w:t xml:space="preserve">Anuṣṭubh</w:t>
        </w:r>
      </w:hyperlink>
    </w:p>
    <w:p>
      <w:pPr>
        <w:pStyle w:val="BodyText"/>
      </w:pPr>
      <w:r>
        <w:rPr>
          <w:rStyle w:val="ColorGray"/>
        </w:rPr>
        <w:t xml:space="preserve">⟨B9⟩</w:t>
      </w:r>
      <w:r>
        <w:rPr>
          <w:rStyle w:val="ColorGray"/>
        </w:rPr>
        <w:t xml:space="preserve"> </w:t>
      </w:r>
      <w:r>
        <w:t xml:space="preserve">vima</w:t>
      </w:r>
      <w:r>
        <w:rPr>
          <w:rStyle w:val="ColorMagenta"/>
        </w:rPr>
        <w:t xml:space="preserve">¡d!</w:t>
      </w:r>
      <w:r>
        <w:rPr>
          <w:rStyle w:val="ColorBlue"/>
        </w:rPr>
        <w:t xml:space="preserve">⟨rd⟩</w:t>
      </w:r>
      <w:r>
        <w:t xml:space="preserve">ayanti ye bhūmī-</w:t>
      </w:r>
      <w:r>
        <w:br/>
      </w:r>
      <w:r>
        <w:t xml:space="preserve">-bhūm</w:t>
      </w:r>
      <w:r>
        <w:rPr>
          <w:rStyle w:val="ColorMagenta"/>
        </w:rPr>
        <w:t xml:space="preserve">¡ī!</w:t>
      </w:r>
      <w:r>
        <w:rPr>
          <w:rStyle w:val="ColorBlue"/>
        </w:rPr>
        <w:t xml:space="preserve">⟨i⟩</w:t>
      </w:r>
      <w:r>
        <w:t xml:space="preserve">-dāsān devasya pāp</w:t>
      </w:r>
      <w:r>
        <w:rPr>
          <w:rStyle w:val="ColorMagenta"/>
        </w:rPr>
        <w:t xml:space="preserve">¡ī!</w:t>
      </w:r>
      <w:r>
        <w:rPr>
          <w:rStyle w:val="ColorBlue"/>
        </w:rPr>
        <w:t xml:space="preserve">⟨i⟩</w:t>
      </w:r>
      <w:r>
        <w:t xml:space="preserve">naḥ</w:t>
      </w:r>
      <w:r>
        <w:br/>
      </w:r>
      <w:r>
        <w:rPr>
          <w:rStyle w:val="ColorGray"/>
        </w:rPr>
        <w:t xml:space="preserve">⟨B10⟩</w:t>
      </w:r>
      <w:r>
        <w:rPr>
          <w:rStyle w:val="ColorGray"/>
        </w:rPr>
        <w:t xml:space="preserve"> </w:t>
      </w:r>
      <w:r>
        <w:t xml:space="preserve">te sarvva-narake yāntu</w:t>
      </w:r>
      <w:r>
        <w:br/>
      </w:r>
      <w:r>
        <w:t xml:space="preserve">yātanām ā bhavakṣayāt· ∥</w:t>
      </w:r>
    </w:p>
    <w:p>
      <w:pPr>
        <w:pStyle w:val="BodyText"/>
      </w:pPr>
      <w:r>
        <w:t xml:space="preserve">6.</w:t>
      </w:r>
      <w:r>
        <w:t xml:space="preserve"> </w:t>
      </w:r>
      <w:hyperlink r:id="rId10">
        <w:r>
          <w:rPr>
            <w:rStyle w:val="Hyperlink"/>
          </w:rPr>
          <w:t xml:space="preserve">Anuṣṭubh</w:t>
        </w:r>
      </w:hyperlink>
    </w:p>
    <w:p>
      <w:pPr>
        <w:pStyle w:val="BodyText"/>
      </w:pPr>
      <w:r>
        <w:rPr>
          <w:rStyle w:val="ColorGray"/>
        </w:rPr>
        <w:t xml:space="preserve">⟨B11⟩</w:t>
      </w:r>
      <w:r>
        <w:rPr>
          <w:rStyle w:val="ColorGray"/>
        </w:rPr>
        <w:t xml:space="preserve"> </w:t>
      </w:r>
      <w:r>
        <w:t xml:space="preserve">vivardhayanti ye deva-</w:t>
      </w:r>
      <w:r>
        <w:br/>
      </w:r>
      <w:r>
        <w:t xml:space="preserve">-bhūmi-dāsāṁ</w:t>
      </w:r>
      <w:r>
        <w:rPr>
          <w:rStyle w:val="ColorMagenta"/>
        </w:rPr>
        <w:t xml:space="preserve">¡g!</w:t>
      </w:r>
      <w:r>
        <w:rPr>
          <w:rStyle w:val="ColorBlue"/>
        </w:rPr>
        <w:t xml:space="preserve">⟨ś⟩</w:t>
      </w:r>
      <w:r>
        <w:t xml:space="preserve"> </w:t>
      </w:r>
      <w:r>
        <w:t xml:space="preserve">ca dhārmmikāḥ</w:t>
      </w:r>
      <w:r>
        <w:br/>
      </w:r>
      <w:r>
        <w:rPr>
          <w:rStyle w:val="ColorGray"/>
        </w:rPr>
        <w:t xml:space="preserve">⟨B12⟩</w:t>
      </w:r>
      <w:r>
        <w:rPr>
          <w:rStyle w:val="ColorGray"/>
        </w:rPr>
        <w:t xml:space="preserve"> </w:t>
      </w:r>
      <w:r>
        <w:t xml:space="preserve">svargg(e) te sarvva-devena</w:t>
      </w:r>
      <w:r>
        <w:br/>
      </w:r>
      <w:r>
        <w:t xml:space="preserve">pūjyantān nitya-saṁpadaḥ ∥</w:t>
      </w:r>
    </w:p>
    <w:p>
      <w:pPr>
        <w:pStyle w:val="Heading1"/>
      </w:pPr>
      <w:r>
        <w:t xml:space="preserve">Translation by Griffiths &amp; Chhom 2019</w:t>
      </w:r>
    </w:p>
    <w:p>
      <w:pPr>
        <w:pStyle w:val="FirstParagraph"/>
      </w:pPr>
      <w:r>
        <w:rPr>
          <w:rStyle w:val="ColorGray"/>
        </w:rPr>
        <w:t xml:space="preserve">⟨A1⟩</w:t>
      </w:r>
      <w:r>
        <w:t xml:space="preserve"> </w:t>
      </w:r>
      <w:r>
        <w:t xml:space="preserve">779</w:t>
      </w:r>
      <w:r>
        <w:t xml:space="preserve"> </w:t>
      </w:r>
      <w:r>
        <w:rPr>
          <w:i/>
          <w:iCs/>
        </w:rPr>
        <w:t xml:space="preserve">śaka</w:t>
      </w:r>
      <w:r>
        <w:t xml:space="preserve">, eleventh (</w:t>
      </w:r>
      <w:r>
        <w:rPr>
          <w:i/>
          <w:iCs/>
        </w:rPr>
        <w:t xml:space="preserve">tithi</w:t>
      </w:r>
      <w:r>
        <w:t xml:space="preserve">) of the waning ⟨fortnight⟩ of</w:t>
      </w:r>
      <w:r>
        <w:t xml:space="preserve"> </w:t>
      </w:r>
      <w:r>
        <w:rPr>
          <w:i/>
          <w:iCs/>
        </w:rPr>
        <w:t xml:space="preserve">māgha</w:t>
      </w:r>
      <w:r>
        <w:t xml:space="preserve">.</w:t>
      </w:r>
    </w:p>
    <w:p>
      <w:pPr>
        <w:pStyle w:val="BodyText"/>
      </w:pPr>
      <w:r>
        <w:rPr>
          <w:rStyle w:val="ColorGray"/>
        </w:rPr>
        <w:t xml:space="preserve">⟨A1–A4⟩</w:t>
      </w:r>
      <w:r>
        <w:t xml:space="preserve"> </w:t>
      </w:r>
      <w:r>
        <w:t xml:space="preserve">At that time (</w:t>
      </w:r>
      <w:r>
        <w:rPr>
          <w:i/>
          <w:iCs/>
        </w:rPr>
        <w:t xml:space="preserve">nu</w:t>
      </w:r>
      <w:r>
        <w:t xml:space="preserve">), Mratāñ Śrī Bhūpendrasiṅha and Steṅ Añ master of professors of the royal precincts (</w:t>
      </w:r>
      <w:r>
        <w:rPr>
          <w:i/>
          <w:iCs/>
        </w:rPr>
        <w:t xml:space="preserve">vraḥ laṁvāṅ</w:t>
      </w:r>
      <w:r>
        <w:t xml:space="preserve">) respectfully petitioned (</w:t>
      </w:r>
      <w:r>
        <w:rPr>
          <w:i/>
          <w:iCs/>
        </w:rPr>
        <w:t xml:space="preserve">paṅgaṁ thpvaṅ nivedana</w:t>
      </w:r>
      <w:r>
        <w:t xml:space="preserve">) His Majesty the King (</w:t>
      </w:r>
      <w:r>
        <w:rPr>
          <w:i/>
          <w:iCs/>
        </w:rPr>
        <w:t xml:space="preserve">dhūli vraḥ pāda dhūli jeṅ vraḥ kamrateṅ qañ</w:t>
      </w:r>
      <w:r>
        <w:t xml:space="preserve">) who was pleased to go to Parameśvara (Jayavarman II):</w:t>
      </w:r>
    </w:p>
    <w:p>
      <w:pPr>
        <w:pStyle w:val="BodyText"/>
      </w:pPr>
      <w:r>
        <w:rPr>
          <w:rStyle w:val="ColorGray"/>
        </w:rPr>
        <w:t xml:space="preserve">⟨A4–A6⟩</w:t>
      </w:r>
      <w:r>
        <w:t xml:space="preserve"> </w:t>
      </w:r>
      <w:r>
        <w:t xml:space="preserve">that (</w:t>
      </w:r>
      <w:r>
        <w:rPr>
          <w:i/>
          <w:iCs/>
        </w:rPr>
        <w:t xml:space="preserve">man</w:t>
      </w:r>
      <w:r>
        <w:t xml:space="preserve">) V.K.A. Śivaliṅga at Rāṁ be the property of the lineage (</w:t>
      </w:r>
      <w:r>
        <w:rPr>
          <w:i/>
          <w:iCs/>
        </w:rPr>
        <w:t xml:space="preserve">pi leṅ sāka</w:t>
      </w:r>
      <w:r>
        <w:t xml:space="preserve">), together with the god (</w:t>
      </w:r>
      <w:r>
        <w:rPr>
          <w:i/>
          <w:iCs/>
        </w:rPr>
        <w:t xml:space="preserve">vraḥ</w:t>
      </w:r>
      <w:r>
        <w:t xml:space="preserve">) of Setā Nadī, (both</w:t>
      </w:r>
      <w:r>
        <w:t xml:space="preserve"> </w:t>
      </w:r>
      <w:r>
        <w:rPr>
          <w:i/>
          <w:iCs/>
        </w:rPr>
        <w:t xml:space="preserve">liṅga</w:t>
      </w:r>
      <w:r>
        <w:t xml:space="preserve"> </w:t>
      </w:r>
      <w:r>
        <w:t xml:space="preserve">and that god being) pious works at (</w:t>
      </w:r>
      <w:r>
        <w:rPr>
          <w:i/>
          <w:iCs/>
        </w:rPr>
        <w:t xml:space="preserve">nai</w:t>
      </w:r>
      <w:r>
        <w:t xml:space="preserve">) the Holy Foundation (</w:t>
      </w:r>
      <w:r>
        <w:rPr>
          <w:i/>
          <w:iCs/>
        </w:rPr>
        <w:t xml:space="preserve">dharmma</w:t>
      </w:r>
      <w:r>
        <w:t xml:space="preserve">) of the province of Śrīndrapura;</w:t>
      </w:r>
    </w:p>
    <w:p>
      <w:pPr>
        <w:pStyle w:val="BodyText"/>
      </w:pPr>
      <w:r>
        <w:rPr>
          <w:rStyle w:val="ColorGray"/>
        </w:rPr>
        <w:t xml:space="preserve">⟨A6–A8⟩</w:t>
      </w:r>
      <w:r>
        <w:t xml:space="preserve"> </w:t>
      </w:r>
      <w:r>
        <w:t xml:space="preserve">that His Majesty the King who was pleased to go to Parameśvara carry out the ceremonial opening of the (two deities’) eyes and offer servants: one foreman (</w:t>
      </w:r>
      <w:r>
        <w:rPr>
          <w:i/>
          <w:iCs/>
        </w:rPr>
        <w:t xml:space="preserve">mūla</w:t>
      </w:r>
      <w:r>
        <w:t xml:space="preserve">) from the corporation (</w:t>
      </w:r>
      <w:r>
        <w:rPr>
          <w:i/>
          <w:iCs/>
        </w:rPr>
        <w:t xml:space="preserve">varṇa</w:t>
      </w:r>
      <w:r>
        <w:t xml:space="preserve">) of the Tampuon (tribe and) one foreman from (the corporation of the) archers (</w:t>
      </w:r>
      <w:r>
        <w:rPr>
          <w:i/>
          <w:iCs/>
        </w:rPr>
        <w:t xml:space="preserve">śarāsa</w:t>
      </w:r>
      <w:r>
        <w:t xml:space="preserve">).</w:t>
      </w:r>
    </w:p>
    <w:p>
      <w:pPr>
        <w:pStyle w:val="BodyText"/>
      </w:pPr>
      <w:r>
        <w:rPr>
          <w:rStyle w:val="ColorGray"/>
        </w:rPr>
        <w:t xml:space="preserve">⟨A8–A10⟩</w:t>
      </w:r>
      <w:r>
        <w:t xml:space="preserve"> </w:t>
      </w:r>
      <w:r>
        <w:t xml:space="preserve">The king (</w:t>
      </w:r>
      <w:r>
        <w:rPr>
          <w:i/>
          <w:iCs/>
        </w:rPr>
        <w:t xml:space="preserve">vraḥ pāda</w:t>
      </w:r>
      <w:r>
        <w:t xml:space="preserve">) who was pleased to go to the Viṣṇuloka (Jayavarman III) performed worship (</w:t>
      </w:r>
      <w:r>
        <w:rPr>
          <w:i/>
          <w:iCs/>
        </w:rPr>
        <w:t xml:space="preserve">pūjā</w:t>
      </w:r>
      <w:r>
        <w:t xml:space="preserve">), giving the pool (</w:t>
      </w:r>
      <w:r>
        <w:rPr>
          <w:i/>
          <w:iCs/>
        </w:rPr>
        <w:t xml:space="preserve">piṅ</w:t>
      </w:r>
      <w:r>
        <w:t xml:space="preserve">) by the royal wharf (</w:t>
      </w:r>
      <w:r>
        <w:rPr>
          <w:i/>
          <w:iCs/>
        </w:rPr>
        <w:t xml:space="preserve">kaṁvaṅ</w:t>
      </w:r>
      <w:r>
        <w:t xml:space="preserve">) of the embankment, the wharf perpendicular to (</w:t>
      </w:r>
      <w:r>
        <w:rPr>
          <w:i/>
          <w:iCs/>
        </w:rPr>
        <w:t xml:space="preserve">tadiṅ</w:t>
      </w:r>
      <w:r>
        <w:t xml:space="preserve">) the front gate (</w:t>
      </w:r>
      <w:r>
        <w:rPr>
          <w:i/>
          <w:iCs/>
        </w:rPr>
        <w:t xml:space="preserve">mukhadvāra</w:t>
      </w:r>
      <w:r>
        <w:t xml:space="preserve">), the opposite wharf (lying) along (the royal wharf or the wharf perpendicular to the front gate or both of them) and also the Divasa forest (lying) along (the royal wharf or the wharf perpendicular to the front gate or both of them).</w:t>
      </w:r>
    </w:p>
    <w:p>
      <w:pPr>
        <w:pStyle w:val="BodyText"/>
      </w:pPr>
      <w:r>
        <w:rPr>
          <w:rStyle w:val="ColorGray"/>
        </w:rPr>
        <w:t xml:space="preserve">⟨A11–A12⟩</w:t>
      </w:r>
      <w:r>
        <w:t xml:space="preserve"> </w:t>
      </w:r>
      <w:r>
        <w:t xml:space="preserve">Regarding rice (</w:t>
      </w:r>
      <w:r>
        <w:rPr>
          <w:i/>
          <w:iCs/>
        </w:rPr>
        <w:t xml:space="preserve">nā tandula</w:t>
      </w:r>
      <w:r>
        <w:t xml:space="preserve">), he ordered a tax (</w:t>
      </w:r>
      <w:r>
        <w:rPr>
          <w:i/>
          <w:iCs/>
        </w:rPr>
        <w:t xml:space="preserve">tithi</w:t>
      </w:r>
      <w:r>
        <w:t xml:space="preserve">chkop) of 1 bushel (</w:t>
      </w:r>
      <w:r>
        <w:rPr>
          <w:i/>
          <w:iCs/>
        </w:rPr>
        <w:t xml:space="preserve">je</w:t>
      </w:r>
      <w:r>
        <w:t xml:space="preserve">) daily, not to be used independently from the authority of the paddy officers, the district officers, the officers of the forest chamber (?</w:t>
      </w:r>
      <w:r>
        <w:t xml:space="preserve"> </w:t>
      </w:r>
      <w:r>
        <w:rPr>
          <w:i/>
          <w:iCs/>
        </w:rPr>
        <w:t xml:space="preserve">kandvāra vrai</w:t>
      </w:r>
      <w:r>
        <w:t xml:space="preserve">), the officers of paddy and oil.</w:t>
      </w:r>
    </w:p>
    <w:p>
      <w:pPr>
        <w:pStyle w:val="BodyText"/>
      </w:pPr>
      <w:r>
        <w:rPr>
          <w:rStyle w:val="ColorGray"/>
        </w:rPr>
        <w:t xml:space="preserve">⟨A12–A13⟩</w:t>
      </w:r>
      <w:r>
        <w:t xml:space="preserve"> </w:t>
      </w:r>
      <w:r>
        <w:t xml:space="preserve">⟨He also ordered⟩ that there ought not to be any royal corvée (</w:t>
      </w:r>
      <w:r>
        <w:rPr>
          <w:i/>
          <w:iCs/>
        </w:rPr>
        <w:t xml:space="preserve">tithi</w:t>
      </w:r>
      <w:r>
        <w:t xml:space="preserve">)(claimed on its basis); (</w:t>
      </w:r>
      <w:r>
        <w:rPr>
          <w:i/>
          <w:iCs/>
        </w:rPr>
        <w:t xml:space="preserve">tithi</w:t>
      </w:r>
      <w:r>
        <w:t xml:space="preserve">)⟨he ordered that⟩ it produce solely temple corvée.</w:t>
      </w:r>
    </w:p>
    <w:p>
      <w:pPr>
        <w:pStyle w:val="BodyText"/>
      </w:pPr>
      <w:r>
        <w:rPr>
          <w:rStyle w:val="ColorGray"/>
        </w:rPr>
        <w:t xml:space="preserve">⟨A13–A14⟩</w:t>
      </w:r>
      <w:r>
        <w:t xml:space="preserve"> </w:t>
      </w:r>
      <w:r>
        <w:t xml:space="preserve">Endowment (</w:t>
      </w:r>
      <w:r>
        <w:rPr>
          <w:i/>
          <w:iCs/>
        </w:rPr>
        <w:t xml:space="preserve">kalpanā</w:t>
      </w:r>
      <w:r>
        <w:t xml:space="preserve">) for the venerable of ciant (</w:t>
      </w:r>
      <w:r>
        <w:rPr>
          <w:i/>
          <w:iCs/>
        </w:rPr>
        <w:t xml:space="preserve">purohita</w:t>
      </w:r>
      <w:r>
        <w:t xml:space="preserve">): 1 guardian of his resting-chamber; 2</w:t>
      </w:r>
      <w:r>
        <w:t xml:space="preserve"> </w:t>
      </w:r>
      <w:r>
        <w:rPr>
          <w:i/>
          <w:iCs/>
        </w:rPr>
        <w:t xml:space="preserve">yo</w:t>
      </w:r>
      <w:r>
        <w:t xml:space="preserve"> </w:t>
      </w:r>
      <w:r>
        <w:t xml:space="preserve">of</w:t>
      </w:r>
      <w:r>
        <w:t xml:space="preserve"> </w:t>
      </w:r>
      <w:r>
        <w:rPr>
          <w:i/>
          <w:iCs/>
        </w:rPr>
        <w:t xml:space="preserve">tap hat</w:t>
      </w:r>
      <w:r>
        <w:t xml:space="preserve"> </w:t>
      </w:r>
      <w:r>
        <w:t xml:space="preserve">⟨cloth⟩.</w:t>
      </w:r>
    </w:p>
    <w:p>
      <w:pPr>
        <w:pStyle w:val="BodyText"/>
      </w:pPr>
      <w:r>
        <w:rPr>
          <w:rStyle w:val="ColorGray"/>
        </w:rPr>
        <w:t xml:space="preserve">⟨A14–A15⟩</w:t>
      </w:r>
      <w:r>
        <w:t xml:space="preserve"> </w:t>
      </w:r>
      <w:r>
        <w:t xml:space="preserve">Such were the endowments of the king (</w:t>
      </w:r>
      <w:r>
        <w:rPr>
          <w:i/>
          <w:iCs/>
        </w:rPr>
        <w:t xml:space="preserve">vraḥ pāda</w:t>
      </w:r>
      <w:r>
        <w:t xml:space="preserve">) who was pleased to go to Parameśvara and of the king who was pleased to go to the Viṣṇuloka.</w:t>
      </w:r>
    </w:p>
    <w:p>
      <w:pPr>
        <w:pStyle w:val="BodyText"/>
      </w:pPr>
      <w:r>
        <w:rPr>
          <w:rStyle w:val="ColorGray"/>
        </w:rPr>
        <w:t xml:space="preserve">⟨A15–A17⟩</w:t>
      </w:r>
      <w:r>
        <w:t xml:space="preserve"> </w:t>
      </w:r>
      <w:r>
        <w:t xml:space="preserve">The king who was pleased to go to the Paramaśivaloka (Yaśovarman) also performed worship and ordered to maintain that endowment.</w:t>
      </w:r>
    </w:p>
    <w:p>
      <w:pPr>
        <w:pStyle w:val="BodyText"/>
      </w:pPr>
      <w:r>
        <w:rPr>
          <w:rStyle w:val="ColorGray"/>
        </w:rPr>
        <w:t xml:space="preserve">⟨A17–A19⟩</w:t>
      </w:r>
      <w:r>
        <w:t xml:space="preserve"> </w:t>
      </w:r>
      <w:r>
        <w:t xml:space="preserve">The paddy inspector(s) (</w:t>
      </w:r>
      <w:r>
        <w:rPr>
          <w:i/>
          <w:iCs/>
        </w:rPr>
        <w:t xml:space="preserve">tamvrac srū</w:t>
      </w:r>
      <w:r>
        <w:t xml:space="preserve">) submitted a petition (</w:t>
      </w:r>
      <w:r>
        <w:rPr>
          <w:i/>
          <w:iCs/>
        </w:rPr>
        <w:t xml:space="preserve">nivedana pi svaṁ</w:t>
      </w:r>
      <w:r>
        <w:t xml:space="preserve">) for a wharf on which to unload (</w:t>
      </w:r>
      <w:r>
        <w:rPr>
          <w:i/>
          <w:iCs/>
        </w:rPr>
        <w:t xml:space="preserve">phduk</w:t>
      </w:r>
      <w:r>
        <w:t xml:space="preserve">) their portion, ⟨asking permission also to the king⟩ to give (</w:t>
      </w:r>
      <w:r>
        <w:rPr>
          <w:i/>
          <w:iCs/>
        </w:rPr>
        <w:t xml:space="preserve">qoy</w:t>
      </w:r>
      <w:r>
        <w:t xml:space="preserve">) the stone (called) Vraḥ Candoṅ (or the stone of Vraḥ Candoṅ) so that (</w:t>
      </w:r>
      <w:r>
        <w:rPr>
          <w:i/>
          <w:iCs/>
        </w:rPr>
        <w:t xml:space="preserve">qoy leṅ mān toy</w:t>
      </w:r>
      <w:r>
        <w:t xml:space="preserve">) the boats can be taken out.</w:t>
      </w:r>
    </w:p>
    <w:p>
      <w:pPr>
        <w:pStyle w:val="BodyText"/>
      </w:pPr>
      <w:r>
        <w:t xml:space="preserve">1.</w:t>
      </w:r>
    </w:p>
    <w:p>
      <w:pPr>
        <w:pStyle w:val="BodyText"/>
      </w:pPr>
      <w:r>
        <w:t xml:space="preserve">Let that benign Śiva be paid homage, who ⟨, though he ever⟩ abides motionless, restrained in supreme (</w:t>
      </w:r>
      <w:r>
        <w:rPr>
          <w:i/>
          <w:iCs/>
        </w:rPr>
        <w:t xml:space="preserve">yogic</w:t>
      </w:r>
      <w:r>
        <w:t xml:space="preserve">) isolation, ⟨also becomes⟩ perceptible (</w:t>
      </w:r>
      <w:r>
        <w:rPr>
          <w:i/>
          <w:iCs/>
        </w:rPr>
        <w:t xml:space="preserve">sthūla</w:t>
      </w:r>
      <w:r>
        <w:t xml:space="preserve">) for the purpose of creating the universe!</w:t>
      </w:r>
    </w:p>
    <w:p>
      <w:pPr>
        <w:pStyle w:val="BodyText"/>
      </w:pPr>
      <w:r>
        <w:t xml:space="preserve">2.</w:t>
      </w:r>
    </w:p>
    <w:p>
      <w:pPr>
        <w:pStyle w:val="BodyText"/>
      </w:pPr>
      <w:r>
        <w:t xml:space="preserve">And he (the king), the dustless (</w:t>
      </w:r>
      <w:r>
        <w:rPr>
          <w:i/>
          <w:iCs/>
        </w:rPr>
        <w:t xml:space="preserve">nīraja</w:t>
      </w:r>
      <w:r>
        <w:t xml:space="preserve">) full-blown (</w:t>
      </w:r>
      <w:r>
        <w:rPr>
          <w:i/>
          <w:iCs/>
        </w:rPr>
        <w:t xml:space="preserve">unnidra</w:t>
      </w:r>
      <w:r>
        <w:t xml:space="preserve">) lotuses (</w:t>
      </w:r>
      <w:r>
        <w:rPr>
          <w:i/>
          <w:iCs/>
        </w:rPr>
        <w:t xml:space="preserve">nīra-ja</w:t>
      </w:r>
      <w:r>
        <w:t xml:space="preserve">) of whose pure feet were taken up, out of devotion, by the crests of the kings on the surface of the earth, for the increase of prosperity, …</w:t>
      </w:r>
      <w:r>
        <w:rPr>
          <w:rStyle w:val="FootnoteReference"/>
        </w:rPr>
        <w:footnoteReference w:id="11"/>
      </w:r>
    </w:p>
    <w:p>
      <w:pPr>
        <w:pStyle w:val="BodyText"/>
      </w:pPr>
      <w:r>
        <w:t xml:space="preserve">3.</w:t>
      </w:r>
    </w:p>
    <w:p>
      <w:pPr>
        <w:pStyle w:val="BodyText"/>
      </w:pPr>
      <w:r>
        <w:t xml:space="preserve">…</w:t>
      </w:r>
      <w:r>
        <w:rPr>
          <w:rStyle w:val="FootnoteReference"/>
        </w:rPr>
        <w:footnoteReference w:id="12"/>
      </w:r>
      <w:r>
        <w:t xml:space="preserve"> </w:t>
      </w:r>
      <w:r>
        <w:t xml:space="preserve">he, the king Śrī Sūryavarman, having a firm base in dharma, was petitioned by the reverend Vidyādhipativarman, whose soul was ⟨fixed⟩ on the divine.</w:t>
      </w:r>
    </w:p>
    <w:p>
      <w:pPr>
        <w:pStyle w:val="BodyText"/>
      </w:pPr>
      <w:r>
        <w:t xml:space="preserve">4.</w:t>
      </w:r>
    </w:p>
    <w:p>
      <w:pPr>
        <w:pStyle w:val="BodyText"/>
      </w:pPr>
      <w:r>
        <w:t xml:space="preserve">By his (the King’s) instructions, approved by all knowers of</w:t>
      </w:r>
      <w:r>
        <w:t xml:space="preserve"> </w:t>
      </w:r>
      <w:r>
        <w:rPr>
          <w:i/>
          <w:iCs/>
        </w:rPr>
        <w:t xml:space="preserve">dharma</w:t>
      </w:r>
      <w:r>
        <w:t xml:space="preserve">, superior (in positive effects) even to ambrosia, the territory of the god, along with floods of slaves, was exempted from (taxation by) district-overseers.</w:t>
      </w:r>
    </w:p>
    <w:p>
      <w:pPr>
        <w:pStyle w:val="BodyText"/>
      </w:pPr>
      <w:r>
        <w:t xml:space="preserve">5.</w:t>
      </w:r>
    </w:p>
    <w:p>
      <w:pPr>
        <w:pStyle w:val="BodyText"/>
      </w:pPr>
      <w:r>
        <w:t xml:space="preserve">To those sinners, who disturb the territory and the servants of the god, shall befall torture in all the hells, till the end of existence.</w:t>
      </w:r>
    </w:p>
    <w:p>
      <w:pPr>
        <w:pStyle w:val="BodyText"/>
      </w:pPr>
      <w:r>
        <w:t xml:space="preserve">6.</w:t>
      </w:r>
    </w:p>
    <w:p>
      <w:pPr>
        <w:pStyle w:val="BodyText"/>
      </w:pPr>
      <w:r>
        <w:t xml:space="preserve">Those righteous ones, who cause the land and the servants of the god to prosper, are to be worshipped by all the gods in heaven, forever prosperous.</w:t>
      </w:r>
    </w:p>
    <w:p>
      <w:pPr>
        <w:pStyle w:val="Heading1"/>
      </w:pPr>
      <w:r>
        <w:t xml:space="preserve">Commentary</w:t>
      </w:r>
    </w:p>
    <w:p>
      <w:pPr>
        <w:pStyle w:val="FirstParagraph"/>
      </w:pPr>
      <w:r>
        <w:rPr>
          <w:rStyle w:val="ColorGray"/>
        </w:rPr>
        <w:t xml:space="preserve">⟨A9⟩</w:t>
      </w:r>
      <w:r>
        <w:t xml:space="preserve"> </w:t>
      </w:r>
      <w:r>
        <w:t xml:space="preserve">The absence of the expected</w:t>
      </w:r>
      <w:r>
        <w:t xml:space="preserve"> </w:t>
      </w:r>
      <w:r>
        <w:rPr>
          <w:i/>
          <w:iCs/>
        </w:rPr>
        <w:t xml:space="preserve">anusvāra</w:t>
      </w:r>
      <w:r>
        <w:t xml:space="preserve"> </w:t>
      </w:r>
      <w:r>
        <w:t xml:space="preserve">on the</w:t>
      </w:r>
      <w:r>
        <w:t xml:space="preserve"> </w:t>
      </w:r>
      <w:r>
        <w:rPr>
          <w:i/>
          <w:iCs/>
        </w:rPr>
        <w:t xml:space="preserve">akṣara ka</w:t>
      </w:r>
      <w:r>
        <w:t xml:space="preserve"> </w:t>
      </w:r>
      <w:r>
        <w:t xml:space="preserve">of the word</w:t>
      </w:r>
      <w:r>
        <w:t xml:space="preserve"> </w:t>
      </w:r>
      <w:r>
        <w:rPr>
          <w:i/>
          <w:iCs/>
        </w:rPr>
        <w:t xml:space="preserve">kavaṅ·</w:t>
      </w:r>
      <w:r>
        <w:t xml:space="preserve"> </w:t>
      </w:r>
      <w:r>
        <w:t xml:space="preserve">may be due to interference from the</w:t>
      </w:r>
      <w:r>
        <w:t xml:space="preserve"> </w:t>
      </w:r>
      <w:r>
        <w:rPr>
          <w:i/>
          <w:iCs/>
        </w:rPr>
        <w:t xml:space="preserve">u</w:t>
      </w:r>
      <w:r>
        <w:t xml:space="preserve"> </w:t>
      </w:r>
      <w:r>
        <w:t xml:space="preserve">of</w:t>
      </w:r>
      <w:r>
        <w:t xml:space="preserve"> </w:t>
      </w:r>
      <w:r>
        <w:rPr>
          <w:i/>
          <w:iCs/>
        </w:rPr>
        <w:t xml:space="preserve">vīṣṇuloka</w:t>
      </w:r>
      <w:r>
        <w:t xml:space="preserve"> </w:t>
      </w:r>
      <w:r>
        <w:t xml:space="preserve">in the preceding line.</w:t>
      </w:r>
    </w:p>
    <w:p>
      <w:pPr>
        <w:pStyle w:val="BodyText"/>
      </w:pPr>
      <w:r>
        <w:rPr>
          <w:rStyle w:val="ColorGray"/>
        </w:rPr>
        <w:t xml:space="preserve">⟨B9⟩</w:t>
      </w:r>
      <w:r>
        <w:t xml:space="preserve"> </w:t>
      </w:r>
      <w:r>
        <w:t xml:space="preserve">Regarding the word</w:t>
      </w:r>
      <w:r>
        <w:t xml:space="preserve"> </w:t>
      </w:r>
      <w:r>
        <w:rPr>
          <w:i/>
          <w:iCs/>
        </w:rPr>
        <w:t xml:space="preserve">vimardayanti</w:t>
      </w:r>
      <w:r>
        <w:t xml:space="preserve">, judging by the photos, it might seem that the absence of a required superscript</w:t>
      </w:r>
      <w:r>
        <w:t xml:space="preserve"> </w:t>
      </w:r>
      <w:r>
        <w:rPr>
          <w:i/>
          <w:iCs/>
        </w:rPr>
        <w:t xml:space="preserve">r</w:t>
      </w:r>
      <w:r>
        <w:t xml:space="preserve"> </w:t>
      </w:r>
      <w:r>
        <w:t xml:space="preserve">could be due to local detachment of the top layer of the stone’s surface, which would have entailed the loss of the</w:t>
      </w:r>
      <w:r>
        <w:t xml:space="preserve"> </w:t>
      </w:r>
      <w:r>
        <w:rPr>
          <w:i/>
          <w:iCs/>
        </w:rPr>
        <w:t xml:space="preserve">r</w:t>
      </w:r>
      <w:r>
        <w:t xml:space="preserve">, but inspection of the stone shows that no such detachment, and hence no loss of</w:t>
      </w:r>
      <w:r>
        <w:t xml:space="preserve"> </w:t>
      </w:r>
      <w:r>
        <w:rPr>
          <w:i/>
          <w:iCs/>
        </w:rPr>
        <w:t xml:space="preserve">r</w:t>
      </w:r>
      <w:r>
        <w:t xml:space="preserve">, has in fact occurred here. The needed</w:t>
      </w:r>
      <w:r>
        <w:t xml:space="preserve"> </w:t>
      </w:r>
      <w:r>
        <w:rPr>
          <w:i/>
          <w:iCs/>
        </w:rPr>
        <w:t xml:space="preserve">r</w:t>
      </w:r>
      <w:r>
        <w:t xml:space="preserve"> </w:t>
      </w:r>
      <w:r>
        <w:t xml:space="preserve">was simply never written.</w:t>
      </w:r>
    </w:p>
    <w:p>
      <w:pPr>
        <w:pStyle w:val="Heading1"/>
      </w:pPr>
      <w:r>
        <w:t xml:space="preserve">Bibliography</w:t>
      </w:r>
    </w:p>
    <w:p>
      <w:pPr>
        <w:pStyle w:val="FirstParagraph"/>
      </w:pPr>
      <w:r>
        <w:t xml:space="preserve">Edited by Arlo Griffiths and Kunthea Chhom (2019, pp. 11–14) with an English translation.</w:t>
      </w:r>
    </w:p>
    <w:p>
      <w:pPr>
        <w:pStyle w:val="Heading2"/>
      </w:pPr>
      <w:r>
        <w:t xml:space="preserve">Primary</w:t>
      </w:r>
    </w:p>
    <w:p>
      <w:pPr>
        <w:pStyle w:val="FirstParagraph"/>
      </w:pPr>
      <w:r>
        <w:rPr>
          <w:b/>
          <w:bCs/>
        </w:rPr>
        <w:t xml:space="preserve">[AG&amp;KC]</w:t>
      </w:r>
      <w:r>
        <w:t xml:space="preserve"> </w:t>
      </w:r>
      <w:r>
        <w:t xml:space="preserve">Griffiths, Arlo &amp; Kunthea Chhom. 2019. “A problematic inscription (K. 1237).” UJKS 14, pp. 3–22.</w:t>
      </w:r>
      <w:r>
        <w:t xml:space="preserve"> </w:t>
      </w:r>
      <w:hyperlink r:id="rId13">
        <w:r>
          <w:rPr>
            <w:rStyle w:val="Hyperlink"/>
          </w:rPr>
          <w:t xml:space="preserve">[URL]</w:t>
        </w:r>
      </w:hyperlink>
      <w:r>
        <w:t xml:space="preserve"> </w:t>
      </w:r>
      <w:hyperlink r:id="rId14">
        <w:r>
          <w:rPr>
            <w:rStyle w:val="Hyperlink"/>
          </w:rPr>
          <w:t xml:space="preserve">[URL]</w:t>
        </w:r>
      </w:hyperlink>
      <w:r>
        <w:t xml:space="preserve">. Pages 11–14.</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9">
    <w:p>
      <w:pPr>
        <w:pStyle w:val="FootnoteText"/>
      </w:pPr>
      <w:r>
        <w:rPr>
          <w:rStyle w:val="FootnoteReference"/>
        </w:rPr>
        <w:footnoteRef/>
      </w:r>
      <w:r>
        <w:t xml:space="preserve"> </w:t>
      </w:r>
      <w:r>
        <w:t xml:space="preserve">The date 779 śaka relates an event prior to the date of the inscription. The inscription may be dated to the reign of king Sūryavarman I (r. 1002–1050) or II (r. 1113–1150).</w:t>
      </w:r>
    </w:p>
  </w:footnote>
  <w:footnote w:id="11">
    <w:p>
      <w:pPr>
        <w:pStyle w:val="FootnoteText"/>
      </w:pPr>
      <w:r>
        <w:rPr>
          <w:rStyle w:val="FootnoteReference"/>
        </w:rPr>
        <w:footnoteRef/>
      </w:r>
      <w:r>
        <w:t xml:space="preserve"> </w:t>
      </w:r>
      <w:r>
        <w:t xml:space="preserve">The passage is illegible.</w:t>
      </w:r>
    </w:p>
  </w:footnote>
  <w:footnote w:id="12">
    <w:p>
      <w:pPr>
        <w:pStyle w:val="FootnoteText"/>
      </w:pPr>
      <w:r>
        <w:rPr>
          <w:rStyle w:val="FootnoteReference"/>
        </w:rPr>
        <w:footnoteRef/>
      </w:r>
      <w:r>
        <w:t xml:space="preserve"> </w:t>
      </w:r>
      <w:r>
        <w:t xml:space="preserve">The passage is illegible.</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4" Target="http://www.yosothor.org/uploads/images/Udaya/Udaya_pdf/Udaya-Yosothor/No-14-2019/04_Griffiths_Kunthea_Udaya%2014_Final.pdf" TargetMode="External" /><Relationship Type="http://schemas.openxmlformats.org/officeDocument/2006/relationships/hyperlink" Id="rId10" Target="https://dharmalekha.info/prosody#prosody-169" TargetMode="External" /><Relationship Type="http://schemas.openxmlformats.org/officeDocument/2006/relationships/hyperlink" Id="rId13" Target="https://halshs.archives-ouvertes.fr/halshs-02168837" TargetMode="External" /></Relationships>
</file>

<file path=word/_rels/footnotes.xml.rels><?xml version="1.0" encoding="UTF-8"?><Relationships xmlns="http://schemas.openxmlformats.org/package/2006/relationships"><Relationship Type="http://schemas.openxmlformats.org/officeDocument/2006/relationships/hyperlink" Id="rId14" Target="http://www.yosothor.org/uploads/images/Udaya/Udaya_pdf/Udaya-Yosothor/No-14-2019/04_Griffiths_Kunthea_Udaya%2014_Final.pdf" TargetMode="External" /><Relationship Type="http://schemas.openxmlformats.org/officeDocument/2006/relationships/hyperlink" Id="rId10" Target="https://dharmalekha.info/prosody#prosody-169" TargetMode="External" /><Relationship Type="http://schemas.openxmlformats.org/officeDocument/2006/relationships/hyperlink" Id="rId13" Target="https://halshs.archives-ouvertes.fr/halshs-02168837"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 1237. Stela of unknown provenance, 779 Śaka</dc:title>
  <dc:creator>Kunthea Chhom and Arlo Griffiths</dc:creator>
  <cp:keywords/>
  <dcterms:created xsi:type="dcterms:W3CDTF">2026-11-06T07:38:25Z</dcterms:created>
  <dcterms:modified xsi:type="dcterms:W3CDTF">2026-11-06T07:38:25Z</dcterms:modified>
</cp:coreProperties>
</file>

<file path=docProps/custom.xml><?xml version="1.0" encoding="utf-8"?>
<Properties xmlns="http://schemas.openxmlformats.org/officeDocument/2006/custom-properties" xmlns:vt="http://schemas.openxmlformats.org/officeDocument/2006/docPropsVTypes"/>
</file>