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1173. Pedestal from Houay Sa Houa, Vat Phu (inscription of Citrasena-Mahendravarman), 6th century Śaka</w:t>
      </w:r>
    </w:p>
    <w:p>
      <w:pPr>
        <w:pStyle w:val="Author"/>
      </w:pPr>
      <w:r>
        <w:t xml:space="preserve">Kunthea Chhom and Gerdi Gerschheimer</w:t>
      </w:r>
    </w:p>
    <w:p>
      <w:pPr>
        <w:pStyle w:val="FirstParagraph"/>
      </w:pPr>
      <w:r>
        <w:t xml:space="preserve">Authors of digital edition: Kunthea Chhom, Gerdi Gerschheimer</w:t>
      </w:r>
    </w:p>
    <w:p>
      <w:pPr>
        <w:pStyle w:val="BodyText"/>
      </w:pPr>
      <w:r>
        <w:t xml:space="preserve">Identifier: DHARMA_INSCIK01173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texts/xml/DHARMA_INSCIK01173.xml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/>
          <w:iCs/>
        </w:rPr>
        <w:t xml:space="preserve">akṣara</w:t>
      </w:r>
      <w:r>
        <w:t xml:space="preserve">s are characteristic of the seventh century.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[na](ptā) śrī-sārvvabhaumasya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sūnuś śrī-vīravarmmaṇaḥ</w:t>
      </w:r>
      <w:r>
        <w:br/>
      </w:r>
      <w:r>
        <w:rPr>
          <w:rStyle w:val="ColorGray"/>
        </w:rPr>
        <w:t xml:space="preserve">⟨Column c⟩</w:t>
      </w:r>
      <w:r>
        <w:rPr>
          <w:rStyle w:val="ColorGray"/>
        </w:rPr>
        <w:t xml:space="preserve"> </w:t>
      </w:r>
      <w:r>
        <w:t xml:space="preserve">śaktyānūnaẖ kaniṣṭho ’pi</w:t>
      </w:r>
      <w:r>
        <w:br/>
      </w:r>
      <w:r>
        <w:rPr>
          <w:rStyle w:val="ColorGray"/>
        </w:rPr>
        <w:t xml:space="preserve">⟨Column d⟩</w:t>
      </w:r>
      <w:r>
        <w:rPr>
          <w:rStyle w:val="ColorGray"/>
        </w:rPr>
        <w:t xml:space="preserve"> </w:t>
      </w:r>
      <w:r>
        <w:t xml:space="preserve">bhrātā śrī-bhavavarmma(ṇ)[aḥ]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śrī-citrasena Ity eva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pūrvvam āhata-lakṣaṇaḥ</w:t>
      </w:r>
      <w:r>
        <w:br/>
      </w:r>
      <w:r>
        <w:rPr>
          <w:rStyle w:val="ColorGray"/>
        </w:rPr>
        <w:t xml:space="preserve">⟨Column c⟩</w:t>
      </w:r>
      <w:r>
        <w:rPr>
          <w:rStyle w:val="ColorGray"/>
        </w:rPr>
        <w:t xml:space="preserve"> </w:t>
      </w:r>
      <w:r>
        <w:t xml:space="preserve">sa śrī-mahendravarmmeti</w:t>
      </w:r>
      <w:r>
        <w:br/>
      </w:r>
      <w:r>
        <w:rPr>
          <w:rStyle w:val="ColorGray"/>
        </w:rPr>
        <w:t xml:space="preserve">⟨Column d⟩</w:t>
      </w:r>
      <w:r>
        <w:rPr>
          <w:rStyle w:val="ColorGray"/>
        </w:rPr>
        <w:t xml:space="preserve"> </w:t>
      </w:r>
      <w:r>
        <w:t xml:space="preserve">nāma bheje ’bhiṣekajam·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sa śrī-kr̥tāntapāśasya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pitr̥vyasya śilāmayam·</w:t>
      </w:r>
      <w:r>
        <w:br/>
      </w:r>
      <w:r>
        <w:rPr>
          <w:rStyle w:val="ColorGray"/>
        </w:rPr>
        <w:t xml:space="preserve">⟨Column c⟩</w:t>
      </w:r>
      <w:r>
        <w:rPr>
          <w:rStyle w:val="ColorGray"/>
        </w:rPr>
        <w:t xml:space="preserve"> </w:t>
      </w:r>
      <w:r>
        <w:t xml:space="preserve">vr̥ṣabhaṁ sthāpayām āsa</w:t>
      </w:r>
      <w:r>
        <w:br/>
      </w:r>
      <w:r>
        <w:rPr>
          <w:rStyle w:val="ColorGray"/>
        </w:rPr>
        <w:t xml:space="preserve">⟨Column d⟩</w:t>
      </w:r>
      <w:r>
        <w:rPr>
          <w:rStyle w:val="ColorGray"/>
        </w:rPr>
        <w:t xml:space="preserve"> </w:t>
      </w:r>
      <w:r>
        <w:t xml:space="preserve">yaśaẖkīlam iva s(th)iram·</w:t>
      </w:r>
    </w:p>
    <w:p>
      <w:pPr>
        <w:pStyle w:val="Heading1"/>
      </w:pPr>
      <w:r>
        <w:t xml:space="preserve">Translation into French</w:t>
      </w:r>
    </w:p>
    <w:p>
      <w:pPr>
        <w:pStyle w:val="FirstParagraph"/>
      </w:pPr>
      <w:r>
        <w:t xml:space="preserve">3.</w:t>
      </w:r>
    </w:p>
    <w:p>
      <w:pPr>
        <w:pStyle w:val="BodyText"/>
      </w:pPr>
      <w:r>
        <w:t xml:space="preserve">Il (</w:t>
      </w:r>
      <w:r>
        <w:rPr>
          <w:i/>
          <w:iCs/>
        </w:rPr>
        <w:t xml:space="preserve">sa</w:t>
      </w:r>
      <w:r>
        <w:t xml:space="preserve">) installa un taureau de pierre (</w:t>
      </w:r>
      <w:r>
        <w:rPr>
          <w:i/>
          <w:iCs/>
        </w:rPr>
        <w:t xml:space="preserve">śilāmaya</w:t>
      </w:r>
      <w:r>
        <w:t xml:space="preserve">) tel un durable (</w:t>
      </w:r>
      <w:r>
        <w:rPr>
          <w:i/>
          <w:iCs/>
        </w:rPr>
        <w:t xml:space="preserve">sthira</w:t>
      </w:r>
      <w:r>
        <w:t xml:space="preserve">) pilier à la gloire de son oncle paternel (</w:t>
      </w:r>
      <w:r>
        <w:rPr>
          <w:i/>
          <w:iCs/>
        </w:rPr>
        <w:t xml:space="preserve">pitr̥vya</w:t>
      </w:r>
      <w:r>
        <w:t xml:space="preserve">) Śrīkr̥tāntapāśa (« lacet de celui qui fait la fin/la mort », frère de Vīravarman).</w:t>
      </w:r>
    </w:p>
    <w:p>
      <w:pPr>
        <w:pStyle w:val="Heading1"/>
      </w:pPr>
      <w:r>
        <w:t xml:space="preserve">Translation by Goodall 2023</w:t>
      </w:r>
    </w:p>
    <w:p>
      <w:pPr>
        <w:pStyle w:val="FirstParagraph"/>
      </w:pPr>
      <w:r>
        <w:t xml:space="preserve">3.</w:t>
      </w:r>
    </w:p>
    <w:p>
      <w:pPr>
        <w:pStyle w:val="BodyText"/>
      </w:pPr>
      <w:r>
        <w:t xml:space="preserve">He erected a stone bull to be, as it were, an enduring (</w:t>
      </w:r>
      <w:r>
        <w:rPr>
          <w:i/>
          <w:iCs/>
        </w:rPr>
        <w:t xml:space="preserve">sthiram</w:t>
      </w:r>
      <w:r>
        <w:t xml:space="preserve">) Pillar of Fame for his father’s brother Śrī-Kr̥tāntapāśa.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1.</w:t>
      </w:r>
    </w:p>
    <w:p>
      <w:pPr>
        <w:pStyle w:val="BodyText"/>
      </w:pPr>
      <w:r>
        <w:t xml:space="preserve">Grandson of Śrī Sārvabhauma ⟨and⟩ son of Śrī Vīravarman, in spite of being the youngest brother of Śrī Bhavavarman ⟨he was⟩ not inferior in power.</w:t>
      </w:r>
    </w:p>
    <w:p>
      <w:pPr>
        <w:pStyle w:val="BodyText"/>
      </w:pPr>
      <w:r>
        <w:t xml:space="preserve">2.</w:t>
      </w:r>
    </w:p>
    <w:p>
      <w:pPr>
        <w:pStyle w:val="BodyText"/>
      </w:pPr>
      <w:r>
        <w:t xml:space="preserve">He whose mark was well known (</w:t>
      </w:r>
      <w:r>
        <w:rPr>
          <w:i/>
          <w:iCs/>
        </w:rPr>
        <w:t xml:space="preserve">āhatalakṣaṇaḥ</w:t>
      </w:r>
      <w:r>
        <w:t xml:space="preserve">) previously by ⟨name⟩ Śrī Citrasena received Śrī Mahendravarman as a name created ⟨at the time of his⟩ enthronement.</w:t>
      </w:r>
    </w:p>
    <w:p>
      <w:pPr>
        <w:pStyle w:val="BodyText"/>
      </w:pPr>
      <w:r>
        <w:t xml:space="preserve">3.</w:t>
      </w:r>
    </w:p>
    <w:p>
      <w:pPr>
        <w:pStyle w:val="BodyText"/>
      </w:pPr>
      <w:r>
        <w:t xml:space="preserve">He installed a stone bull as a lasting pillar of glory of his paternal uncle, Śrī Kr̥tāntapāśa.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 first stanza of this inscription is identical to that of twelve inscriptions, viz.</w:t>
      </w:r>
      <w:r>
        <w:t xml:space="preserve"> </w:t>
      </w:r>
      <w:hyperlink r:id="rId10">
        <w:r>
          <w:rPr>
            <w:rStyle w:val="Hyperlink"/>
          </w:rPr>
          <w:t xml:space="preserve">K. 363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K. 496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K. 497</w:t>
        </w:r>
      </w:hyperlink>
      <w:r>
        <w:t xml:space="preserve">,</w:t>
      </w:r>
      <w:r>
        <w:t xml:space="preserve"> </w:t>
      </w:r>
      <w:hyperlink r:id="rId13">
        <w:r>
          <w:rPr>
            <w:rStyle w:val="Hyperlink"/>
          </w:rPr>
          <w:t xml:space="preserve">K. 508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K. 509</w:t>
        </w:r>
      </w:hyperlink>
      <w:r>
        <w:t xml:space="preserve">,</w:t>
      </w:r>
      <w:r>
        <w:t xml:space="preserve"> </w:t>
      </w:r>
      <w:hyperlink r:id="rId15">
        <w:r>
          <w:rPr>
            <w:rStyle w:val="Hyperlink"/>
          </w:rPr>
          <w:t xml:space="preserve">K. 1102</w:t>
        </w:r>
      </w:hyperlink>
      <w:r>
        <w:t xml:space="preserve">,</w:t>
      </w:r>
      <w:r>
        <w:t xml:space="preserve"> </w:t>
      </w:r>
      <w:hyperlink r:id="rId16">
        <w:r>
          <w:rPr>
            <w:rStyle w:val="Hyperlink"/>
          </w:rPr>
          <w:t xml:space="preserve">K. 1106</w:t>
        </w:r>
      </w:hyperlink>
      <w:r>
        <w:t xml:space="preserve">,</w:t>
      </w:r>
      <w:r>
        <w:t xml:space="preserve"> </w:t>
      </w:r>
      <w:hyperlink r:id="rId17">
        <w:r>
          <w:rPr>
            <w:rStyle w:val="Hyperlink"/>
          </w:rPr>
          <w:t xml:space="preserve">K. 1174</w:t>
        </w:r>
      </w:hyperlink>
      <w:r>
        <w:t xml:space="preserve">,</w:t>
      </w:r>
      <w:r>
        <w:t xml:space="preserve"> </w:t>
      </w:r>
      <w:hyperlink r:id="rId18">
        <w:r>
          <w:rPr>
            <w:rStyle w:val="Hyperlink"/>
          </w:rPr>
          <w:t xml:space="preserve">K. 1190</w:t>
        </w:r>
      </w:hyperlink>
      <w:r>
        <w:t xml:space="preserve">,</w:t>
      </w:r>
      <w:r>
        <w:t xml:space="preserve"> </w:t>
      </w:r>
      <w:hyperlink r:id="rId19">
        <w:r>
          <w:rPr>
            <w:rStyle w:val="Hyperlink"/>
          </w:rPr>
          <w:t xml:space="preserve">K. 1339</w:t>
        </w:r>
      </w:hyperlink>
      <w:r>
        <w:t xml:space="preserve">,</w:t>
      </w:r>
      <w:r>
        <w:t xml:space="preserve"> </w:t>
      </w:r>
      <w:hyperlink r:id="rId20">
        <w:r>
          <w:rPr>
            <w:rStyle w:val="Hyperlink"/>
          </w:rPr>
          <w:t xml:space="preserve">K. 1340</w:t>
        </w:r>
      </w:hyperlink>
      <w:r>
        <w:t xml:space="preserve"> </w:t>
      </w:r>
      <w:r>
        <w:t xml:space="preserve">and</w:t>
      </w:r>
      <w:r>
        <w:t xml:space="preserve"> </w:t>
      </w:r>
      <w:hyperlink r:id="rId21">
        <w:r>
          <w:rPr>
            <w:rStyle w:val="Hyperlink"/>
          </w:rPr>
          <w:t xml:space="preserve">K. 1341</w:t>
        </w:r>
      </w:hyperlink>
      <w:r>
        <w:t xml:space="preserve">.</w:t>
      </w:r>
    </w:p>
    <w:p>
      <w:pPr>
        <w:pStyle w:val="BodyText"/>
      </w:pPr>
      <w:r>
        <w:t xml:space="preserve">The letter</w:t>
      </w:r>
      <w:r>
        <w:t xml:space="preserve"> </w:t>
      </w:r>
      <w:r>
        <w:rPr>
          <w:i/>
          <w:iCs/>
        </w:rPr>
        <w:t xml:space="preserve">ṇa</w:t>
      </w:r>
      <w:r>
        <w:t xml:space="preserve"> </w:t>
      </w:r>
      <w:r>
        <w:t xml:space="preserve">of</w:t>
      </w:r>
      <w:r>
        <w:t xml:space="preserve"> </w:t>
      </w:r>
      <w:r>
        <w:rPr>
          <w:i/>
          <w:iCs/>
        </w:rPr>
        <w:t xml:space="preserve">āhata-lakṣaṇaḥ</w:t>
      </w:r>
      <w:r>
        <w:t xml:space="preserve"> </w:t>
      </w:r>
      <w:r>
        <w:t xml:space="preserve">in line 2 has the form of an</w:t>
      </w:r>
      <w:r>
        <w:t xml:space="preserve"> </w:t>
      </w:r>
      <w:r>
        <w:rPr>
          <w:i/>
          <w:iCs/>
        </w:rPr>
        <w:t xml:space="preserve">x</w:t>
      </w:r>
      <w:r>
        <w:t xml:space="preserve">, which is older than the form of the</w:t>
      </w:r>
      <w:r>
        <w:t xml:space="preserve"> </w:t>
      </w:r>
      <w:r>
        <w:rPr>
          <w:i/>
          <w:iCs/>
        </w:rPr>
        <w:t xml:space="preserve">ṇa</w:t>
      </w:r>
      <w:r>
        <w:t xml:space="preserve"> </w:t>
      </w:r>
      <w:r>
        <w:t xml:space="preserve">in the words</w:t>
      </w:r>
      <w:r>
        <w:t xml:space="preserve"> </w:t>
      </w:r>
      <w:r>
        <w:rPr>
          <w:i/>
          <w:iCs/>
        </w:rPr>
        <w:t xml:space="preserve">vīravarmmaṇaḥ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bhavavarmmaṇaḥ</w:t>
      </w:r>
      <w:r>
        <w:t xml:space="preserve"> </w:t>
      </w:r>
      <w:r>
        <w:t xml:space="preserve">in line 1.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Preliminary edition by Gerdi Gerschheimer from the estampages EFEO n. 1699 and the photograph in the publication of Claude Jacques and Philippe Lafond (</w:t>
      </w:r>
      <w:hyperlink r:id="rId22">
        <w:r>
          <w:rPr>
            <w:rStyle w:val="Hyperlink"/>
          </w:rPr>
          <w:t xml:space="preserve">2004</w:t>
        </w:r>
      </w:hyperlink>
      <w:r>
        <w:t xml:space="preserve">, p. 101); re-edited partly by Dominic Goodall (2023, p. 29) with English translation.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[DG]</w:t>
      </w:r>
      <w:r>
        <w:t xml:space="preserve"> </w:t>
      </w:r>
      <w:r>
        <w:t xml:space="preserve">Goodall, Dominic. 2023.</w:t>
      </w:r>
      <w:r>
        <w:t xml:space="preserve"> </w:t>
      </w:r>
      <w:r>
        <w:rPr>
          <w:i/>
          <w:iCs/>
        </w:rPr>
        <w:t xml:space="preserve">Kālidāsa’s Kingship among the Khmers</w:t>
      </w:r>
      <w:r>
        <w:t xml:space="preserve">. Gonda Lecture 29. Amsterdam: Koninklijke Nederlandse Akademie van Wetenschappen.</w:t>
      </w:r>
      <w:r>
        <w:t xml:space="preserve"> </w:t>
      </w:r>
      <w:hyperlink r:id="rId23">
        <w:r>
          <w:rPr>
            <w:rStyle w:val="Hyperlink"/>
          </w:rPr>
          <w:t xml:space="preserve">[URL]</w:t>
        </w:r>
      </w:hyperlink>
      <w:r>
        <w:t xml:space="preserve">. Page 29.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https://dharmalekha.info/bibliography/entry/Jacques%2BLafond2004_01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texts/INSCIK00363" TargetMode="External" /><Relationship Type="http://schemas.openxmlformats.org/officeDocument/2006/relationships/hyperlink" Id="rId11" Target="https://dharmalekha.info/texts/INSCIK00496" TargetMode="External" /><Relationship Type="http://schemas.openxmlformats.org/officeDocument/2006/relationships/hyperlink" Id="rId12" Target="https://dharmalekha.info/texts/INSCIK00497" TargetMode="External" /><Relationship Type="http://schemas.openxmlformats.org/officeDocument/2006/relationships/hyperlink" Id="rId13" Target="https://dharmalekha.info/texts/INSCIK00508" TargetMode="External" /><Relationship Type="http://schemas.openxmlformats.org/officeDocument/2006/relationships/hyperlink" Id="rId14" Target="https://dharmalekha.info/texts/INSCIK00509" TargetMode="External" /><Relationship Type="http://schemas.openxmlformats.org/officeDocument/2006/relationships/hyperlink" Id="rId15" Target="https://dharmalekha.info/texts/INSCIK01102" TargetMode="External" /><Relationship Type="http://schemas.openxmlformats.org/officeDocument/2006/relationships/hyperlink" Id="rId16" Target="https://dharmalekha.info/texts/INSCIK01106" TargetMode="External" /><Relationship Type="http://schemas.openxmlformats.org/officeDocument/2006/relationships/hyperlink" Id="rId17" Target="https://dharmalekha.info/texts/INSCIK01174" TargetMode="External" /><Relationship Type="http://schemas.openxmlformats.org/officeDocument/2006/relationships/hyperlink" Id="rId18" Target="https://dharmalekha.info/texts/INSCIK01190" TargetMode="External" /><Relationship Type="http://schemas.openxmlformats.org/officeDocument/2006/relationships/hyperlink" Id="rId19" Target="https://dharmalekha.info/texts/INSCIK01339" TargetMode="External" /><Relationship Type="http://schemas.openxmlformats.org/officeDocument/2006/relationships/hyperlink" Id="rId20" Target="https://dharmalekha.info/texts/INSCIK01340" TargetMode="External" /><Relationship Type="http://schemas.openxmlformats.org/officeDocument/2006/relationships/hyperlink" Id="rId21" Target="https://dharmalekha.info/texts/INSCIK01341" TargetMode="External" /><Relationship Type="http://schemas.openxmlformats.org/officeDocument/2006/relationships/hyperlink" Id="rId23" Target="https://www.knaw.nl/en/publications/kalidasas-kingship-among-khm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dharmalekha.info/bibliography/entry/Jacques%2BLafond2004_01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texts/INSCIK00363" TargetMode="External" /><Relationship Type="http://schemas.openxmlformats.org/officeDocument/2006/relationships/hyperlink" Id="rId11" Target="https://dharmalekha.info/texts/INSCIK00496" TargetMode="External" /><Relationship Type="http://schemas.openxmlformats.org/officeDocument/2006/relationships/hyperlink" Id="rId12" Target="https://dharmalekha.info/texts/INSCIK00497" TargetMode="External" /><Relationship Type="http://schemas.openxmlformats.org/officeDocument/2006/relationships/hyperlink" Id="rId13" Target="https://dharmalekha.info/texts/INSCIK00508" TargetMode="External" /><Relationship Type="http://schemas.openxmlformats.org/officeDocument/2006/relationships/hyperlink" Id="rId14" Target="https://dharmalekha.info/texts/INSCIK00509" TargetMode="External" /><Relationship Type="http://schemas.openxmlformats.org/officeDocument/2006/relationships/hyperlink" Id="rId15" Target="https://dharmalekha.info/texts/INSCIK01102" TargetMode="External" /><Relationship Type="http://schemas.openxmlformats.org/officeDocument/2006/relationships/hyperlink" Id="rId16" Target="https://dharmalekha.info/texts/INSCIK01106" TargetMode="External" /><Relationship Type="http://schemas.openxmlformats.org/officeDocument/2006/relationships/hyperlink" Id="rId17" Target="https://dharmalekha.info/texts/INSCIK01174" TargetMode="External" /><Relationship Type="http://schemas.openxmlformats.org/officeDocument/2006/relationships/hyperlink" Id="rId18" Target="https://dharmalekha.info/texts/INSCIK01190" TargetMode="External" /><Relationship Type="http://schemas.openxmlformats.org/officeDocument/2006/relationships/hyperlink" Id="rId19" Target="https://dharmalekha.info/texts/INSCIK01339" TargetMode="External" /><Relationship Type="http://schemas.openxmlformats.org/officeDocument/2006/relationships/hyperlink" Id="rId20" Target="https://dharmalekha.info/texts/INSCIK01340" TargetMode="External" /><Relationship Type="http://schemas.openxmlformats.org/officeDocument/2006/relationships/hyperlink" Id="rId21" Target="https://dharmalekha.info/texts/INSCIK01341" TargetMode="External" /><Relationship Type="http://schemas.openxmlformats.org/officeDocument/2006/relationships/hyperlink" Id="rId23" Target="https://www.knaw.nl/en/publications/kalidasas-kingship-among-khmers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1173. Pedestal from Houay Sa Houa, Vat Phu (inscription of Citrasena-Mahendravarman), 6th century Śaka</dc:title>
  <dc:creator>Kunthea Chhom and Gerdi Gerschheimer</dc:creator>
  <cp:keywords/>
  <dcterms:created xsi:type="dcterms:W3CDTF">2026-10-26T16:01:39Z</dcterms:created>
  <dcterms:modified xsi:type="dcterms:W3CDTF">2026-10-26T16:01:39Z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