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K. 934. Doorjamb of the central tower at Prasat Srange or Dei Dom, 9th century Śaka</w:t>
      </w:r>
    </w:p>
    <w:p>
      <w:pPr>
        <w:pStyle w:val="Author"/>
      </w:pPr>
      <w:r>
        <w:t xml:space="preserve">Kunthea Chhom and Dominique Soutif</w:t>
      </w:r>
    </w:p>
    <w:p>
      <w:pPr>
        <w:pStyle w:val="FirstParagraph"/>
      </w:pPr>
      <w:r>
        <w:t xml:space="preserve">Authors of digital edition: Kunthea Chhom, Dominique Soutif</w:t>
      </w:r>
    </w:p>
    <w:p>
      <w:pPr>
        <w:pStyle w:val="BodyText"/>
      </w:pPr>
      <w:r>
        <w:t xml:space="preserve">Identifier: DHARMA_INSCIK00934</w:t>
      </w:r>
    </w:p>
    <w:p>
      <w:pPr>
        <w:pStyle w:val="BodyText"/>
      </w:pPr>
      <w:r>
        <w:t xml:space="preserve">Repository: Khmer (tfc-khmer-epigraphy)</w:t>
      </w:r>
    </w:p>
    <w:p>
      <w:pPr>
        <w:pStyle w:val="BodyText"/>
      </w:pPr>
      <w:r>
        <w:t xml:space="preserve">File path: texts/xml/DHARMA_INSCIK00934.xml</w:t>
      </w:r>
    </w:p>
    <w:p>
      <w:pPr>
        <w:pStyle w:val="BodyText"/>
      </w:pPr>
      <w:r>
        <w:t xml:space="preserve">Language: Old Khmer [Khmer]</w:t>
      </w:r>
    </w:p>
    <w:p>
      <w:pPr>
        <w:pStyle w:val="BodyText"/>
      </w:pPr>
      <w:r>
        <w:t xml:space="preserve">Commit: 2026-10-08 15:36 (0b9a49f), last modified 2026-09-19 07:30 (6c36829)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i/>
          <w:iCs/>
        </w:rPr>
        <w:t xml:space="preserve">akṣara</w:t>
      </w:r>
      <w:r>
        <w:t xml:space="preserve">s are characteristic of the ninth century.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Heading2"/>
      </w:pPr>
      <w:r>
        <w:t xml:space="preserve">South doorjamb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⟨S1⟩</w:t>
      </w:r>
      <w:r>
        <w:rPr>
          <w:rStyle w:val="ColorGray"/>
        </w:rPr>
        <w:t xml:space="preserve"> </w:t>
      </w:r>
      <w:r>
        <w:t xml:space="preserve">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⟨S2⟩</w:t>
      </w:r>
      <w:r>
        <w:rPr>
          <w:rStyle w:val="ColorGray"/>
        </w:rPr>
        <w:t xml:space="preserve"> </w:t>
      </w:r>
      <w:r>
        <w:t xml:space="preserve">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⟨S3⟩</w:t>
      </w:r>
      <w:r>
        <w:rPr>
          <w:rStyle w:val="ColorGray"/>
        </w:rPr>
        <w:t xml:space="preserve"> </w:t>
      </w:r>
      <w:r>
        <w:t xml:space="preserve">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⟨S4⟩</w:t>
      </w:r>
      <w:r>
        <w:rPr>
          <w:rStyle w:val="ColorGray"/>
        </w:rPr>
        <w:t xml:space="preserve"> </w:t>
      </w:r>
      <w:r>
        <w:t xml:space="preserve">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⟨S5⟩</w:t>
      </w:r>
      <w:r>
        <w:rPr>
          <w:rStyle w:val="ColorGray"/>
        </w:rPr>
        <w:t xml:space="preserve"> </w:t>
      </w:r>
      <w:r>
        <w:t xml:space="preserve">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⟨S6⟩</w:t>
      </w:r>
      <w:r>
        <w:rPr>
          <w:rStyle w:val="ColorGray"/>
        </w:rPr>
        <w:t xml:space="preserve"> </w:t>
      </w:r>
      <w:r>
        <w:t xml:space="preserve">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⟨S7⟩</w:t>
      </w:r>
      <w:r>
        <w:rPr>
          <w:rStyle w:val="ColorGray"/>
        </w:rPr>
        <w:t xml:space="preserve"> </w:t>
      </w:r>
      <w:r>
        <w:t xml:space="preserve">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⟨S8⟩</w:t>
      </w:r>
      <w:r>
        <w:rPr>
          <w:rStyle w:val="ColorGray"/>
        </w:rPr>
        <w:t xml:space="preserve"> </w:t>
      </w:r>
      <w:r>
        <w:t xml:space="preserve">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⟨S9⟩</w:t>
      </w:r>
      <w:r>
        <w:rPr>
          <w:rStyle w:val="ColorGray"/>
        </w:rPr>
        <w:t xml:space="preserve"> </w:t>
      </w:r>
      <w:r>
        <w:t xml:space="preserve">[…] [qnak paṁre ti knet· kloñ· sruk· gho]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⟨S10⟩</w:t>
      </w:r>
      <w:r>
        <w:rPr>
          <w:rStyle w:val="ColorGray"/>
        </w:rPr>
        <w:t xml:space="preserve"> </w:t>
      </w:r>
      <w:r>
        <w:t xml:space="preserve">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⟨S11⟩</w:t>
      </w:r>
      <w:r>
        <w:rPr>
          <w:rStyle w:val="ColorGray"/>
        </w:rPr>
        <w:t xml:space="preserve"> </w:t>
      </w:r>
      <w:r>
        <w:t xml:space="preserve">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⟨S12⟩</w:t>
      </w:r>
      <w:r>
        <w:rPr>
          <w:rStyle w:val="ColorGray"/>
        </w:rPr>
        <w:t xml:space="preserve"> </w:t>
      </w:r>
      <w:r>
        <w:t xml:space="preserve">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⟨S13⟩</w:t>
      </w:r>
      <w:r>
        <w:rPr>
          <w:rStyle w:val="ColorGray"/>
        </w:rPr>
        <w:t xml:space="preserve"> </w:t>
      </w:r>
      <w:r>
        <w:t xml:space="preserve">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⟨S14⟩</w:t>
      </w:r>
      <w:r>
        <w:rPr>
          <w:rStyle w:val="ColorGray"/>
        </w:rPr>
        <w:t xml:space="preserve"> </w:t>
      </w:r>
      <w:r>
        <w:t xml:space="preserve">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⟨S15⟩</w:t>
      </w:r>
      <w:r>
        <w:rPr>
          <w:rStyle w:val="ColorGray"/>
        </w:rPr>
        <w:t xml:space="preserve"> </w:t>
      </w:r>
      <w:r>
        <w:t xml:space="preserve">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⟨S16⟩</w:t>
      </w:r>
      <w:r>
        <w:rPr>
          <w:rStyle w:val="ColorGray"/>
        </w:rPr>
        <w:t xml:space="preserve"> </w:t>
      </w:r>
      <w:r>
        <w:t xml:space="preserve">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⟨S17⟩</w:t>
      </w:r>
      <w:r>
        <w:rPr>
          <w:rStyle w:val="ColorGray"/>
        </w:rPr>
        <w:t xml:space="preserve"> </w:t>
      </w:r>
      <w:r>
        <w:t xml:space="preserve">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⟨S18⟩</w:t>
      </w:r>
      <w:r>
        <w:rPr>
          <w:rStyle w:val="ColorGray"/>
        </w:rPr>
        <w:t xml:space="preserve"> </w:t>
      </w:r>
      <w:r>
        <w:t xml:space="preserve">kañ·jai tai sa(ṅg)[.]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⟨S19⟩</w:t>
      </w:r>
      <w:r>
        <w:rPr>
          <w:rStyle w:val="ColorGray"/>
        </w:rPr>
        <w:t xml:space="preserve"> </w:t>
      </w:r>
      <w:r>
        <w:t xml:space="preserve">tmiṅ· vina tai sa(ṁ)[.]u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⟨S20⟩</w:t>
      </w:r>
      <w:r>
        <w:rPr>
          <w:rStyle w:val="ColorGray"/>
        </w:rPr>
        <w:t xml:space="preserve"> </w:t>
      </w:r>
      <w:r>
        <w:t xml:space="preserve">tai sukāntā tai [11+] tai śaśi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⟨S21⟩</w:t>
      </w:r>
      <w:r>
        <w:rPr>
          <w:rStyle w:val="ColorGray"/>
        </w:rPr>
        <w:t xml:space="preserve"> </w:t>
      </w:r>
      <w:r>
        <w:t xml:space="preserve">tai kañcu tai rāja tai [9+] ct[.] vra(ḥ) tai kanteṁ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⟨S22⟩</w:t>
      </w:r>
      <w:r>
        <w:rPr>
          <w:rStyle w:val="ColorGray"/>
        </w:rPr>
        <w:t xml:space="preserve"> </w:t>
      </w:r>
      <w:r>
        <w:t xml:space="preserve">tai (ga)ja tai ka(ṁ)vic· cmaṁ cpar· [t](ai) [8+] kroṁ lap· ka</w:t>
      </w:r>
      <w:r>
        <w:rPr>
          <w:rStyle w:val="ColorGray"/>
        </w:rPr>
        <w:t xml:space="preserve">⟨S23⟩</w:t>
      </w:r>
      <w:r>
        <w:t xml:space="preserve">ñ·jai lap· kanaka [8+] (lada ran· gho lvā)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⟨S24⟩</w:t>
      </w:r>
      <w:r>
        <w:rPr>
          <w:rStyle w:val="ColorGray"/>
        </w:rPr>
        <w:t xml:space="preserve"> </w:t>
      </w:r>
      <w:r>
        <w:t xml:space="preserve">kalaśa mās· li⟨ṅ⟩ 10 [11+] pāda vyara tanlap·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⟨S25⟩</w:t>
      </w:r>
      <w:r>
        <w:rPr>
          <w:rStyle w:val="ColorGray"/>
        </w:rPr>
        <w:t xml:space="preserve"> </w:t>
      </w:r>
      <w:r>
        <w:t xml:space="preserve">mās· liṅ· III pā[da] [6+] [ma]n· hir· liṅ· III pāda II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⟨S26⟩</w:t>
      </w:r>
      <w:r>
        <w:rPr>
          <w:rStyle w:val="ColorGray"/>
        </w:rPr>
        <w:t xml:space="preserve"> </w:t>
      </w:r>
      <w:r>
        <w:t xml:space="preserve">nu Anda prāk· (l)[iṅ·] [7+] prāk· liṅ· II tanlap·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⟨S27⟩</w:t>
      </w:r>
      <w:r>
        <w:rPr>
          <w:rStyle w:val="ColorGray"/>
        </w:rPr>
        <w:t xml:space="preserve"> </w:t>
      </w:r>
      <w:r>
        <w:t xml:space="preserve">prak· sot· liṅ· [9+] pāda vyara tanlap·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⟨S28⟩</w:t>
      </w:r>
      <w:r>
        <w:rPr>
          <w:rStyle w:val="ColorGray"/>
        </w:rPr>
        <w:t xml:space="preserve"> </w:t>
      </w:r>
      <w:r>
        <w:t xml:space="preserve">prak· sot· liṅ· (p)r[aṁ] [9+] [kala]śa prak· sot· li</w:t>
      </w:r>
      <w:r>
        <w:rPr>
          <w:rStyle w:val="ColorGray"/>
        </w:rPr>
        <w:t xml:space="preserve">⟨S29⟩</w:t>
      </w:r>
      <w:r>
        <w:t xml:space="preserve">ṅ· 5 klas· pra[k·] [9+] [pra](k·) sot· jya⟨ṅ·⟩ II li</w:t>
      </w:r>
      <w:r>
        <w:rPr>
          <w:rStyle w:val="ColorGray"/>
        </w:rPr>
        <w:t xml:space="preserve">⟨S30⟩</w:t>
      </w:r>
      <w:r>
        <w:t xml:space="preserve">ṅ· 10 noṅ· prak· [11+] noṅ· sroṅ·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⟨S31⟩</w:t>
      </w:r>
      <w:r>
        <w:rPr>
          <w:rStyle w:val="ColorGray"/>
        </w:rPr>
        <w:t xml:space="preserve"> </w:t>
      </w:r>
      <w:r>
        <w:t xml:space="preserve">vyara ṅana jya⟨ṅ·⟩ I liṅ· [10+] jyaṅ· I liṅ· 5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⟨S32⟩</w:t>
      </w:r>
      <w:r>
        <w:rPr>
          <w:rStyle w:val="ColorGray"/>
        </w:rPr>
        <w:t xml:space="preserve"> </w:t>
      </w:r>
      <w:r>
        <w:t xml:space="preserve">śarāvana vyara liṅ· vya[ra] [8+] [jya]ṅ· mvaya liṅ· vyara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⟨S33⟩</w:t>
      </w:r>
      <w:r>
        <w:rPr>
          <w:rStyle w:val="ColorGray"/>
        </w:rPr>
        <w:t xml:space="preserve"> </w:t>
      </w:r>
      <w:r>
        <w:t xml:space="preserve">Āyoti sot· liṅ· [8+] [ma]n· hir· jyaṅ· pvan· liṅ· 10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⟨S34⟩</w:t>
      </w:r>
      <w:r>
        <w:rPr>
          <w:rStyle w:val="ColorGray"/>
        </w:rPr>
        <w:t xml:space="preserve"> </w:t>
      </w:r>
      <w:r>
        <w:t xml:space="preserve">bhāja⟨na⟩ yajñakośa jya[ṅ·] [8+](ṅ·) III snap· pranāla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⟨S35⟩</w:t>
      </w:r>
      <w:r>
        <w:rPr>
          <w:rStyle w:val="ColorGray"/>
        </w:rPr>
        <w:t xml:space="preserve"> </w:t>
      </w:r>
      <w:r>
        <w:t xml:space="preserve">prak·</w:t>
      </w:r>
      <w:r>
        <w:t xml:space="preserve"> </w:t>
      </w:r>
      <w:r>
        <w:rPr>
          <w:rStyle w:val="ColorRed"/>
        </w:rPr>
        <w:t xml:space="preserve">¿mana?</w:t>
      </w:r>
      <w:r>
        <w:rPr>
          <w:rStyle w:val="ColorGreen"/>
        </w:rPr>
        <w:t xml:space="preserve">⟨man·⟩</w:t>
      </w:r>
      <w:r>
        <w:t xml:space="preserve"> </w:t>
      </w:r>
      <w:r>
        <w:t xml:space="preserve">hir· jya[ṅ·] [9+] III bhājana sot·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⟨S36⟩</w:t>
      </w:r>
      <w:r>
        <w:rPr>
          <w:rStyle w:val="ColorGray"/>
        </w:rPr>
        <w:t xml:space="preserve"> </w:t>
      </w:r>
      <w:r>
        <w:t xml:space="preserve">jya⟨ṅ·⟩ II liṅ· 10 ka [9+]p· A(ṁ)vau 9 jyaṅ·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⟨S37⟩</w:t>
      </w:r>
      <w:r>
        <w:rPr>
          <w:rStyle w:val="ColorGray"/>
        </w:rPr>
        <w:t xml:space="preserve"> </w:t>
      </w:r>
      <w:r>
        <w:t xml:space="preserve">I liṅ· 10 [13+] mās· ra(t)· [.][.][.](na)</w:t>
      </w:r>
      <w:r>
        <w:rPr>
          <w:rStyle w:val="ColorGray"/>
        </w:rPr>
        <w:t xml:space="preserve">⟨S38⟩</w:t>
      </w:r>
      <w:r>
        <w:t xml:space="preserve">ṇa man· hir·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⟨S39⟩</w:t>
      </w:r>
      <w:r>
        <w:rPr>
          <w:rStyle w:val="ColorGray"/>
        </w:rPr>
        <w:t xml:space="preserve"> </w:t>
      </w:r>
      <w:r>
        <w:t xml:space="preserve">k· mvay· liṅ·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⟨S40⟩</w:t>
      </w:r>
      <w:r>
        <w:rPr>
          <w:rStyle w:val="ColorGray"/>
        </w:rPr>
        <w:t xml:space="preserve"> </w:t>
      </w:r>
      <w:r>
        <w:t xml:space="preserve">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⟨S41⟩</w:t>
      </w:r>
      <w:r>
        <w:rPr>
          <w:rStyle w:val="ColorGray"/>
        </w:rPr>
        <w:t xml:space="preserve"> </w:t>
      </w:r>
      <w:r>
        <w:t xml:space="preserve">[…]</w:t>
      </w:r>
    </w:p>
    <w:p>
      <w:pPr>
        <w:pStyle w:val="Heading2"/>
      </w:pPr>
      <w:r>
        <w:t xml:space="preserve">North doorjamb</w:t>
      </w:r>
    </w:p>
    <w:p>
      <w:pPr>
        <w:pStyle w:val="FirstParagraph"/>
      </w:pPr>
      <w:r>
        <w:rPr>
          <w:rStyle w:val="ColorGray"/>
        </w:rPr>
        <w:t xml:space="preserve">⟨N1⟩</w:t>
      </w:r>
      <w:r>
        <w:rPr>
          <w:rStyle w:val="ColorGray"/>
        </w:rPr>
        <w:t xml:space="preserve"> </w:t>
      </w:r>
      <w:r>
        <w:t xml:space="preserve">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⟨N2⟩</w:t>
      </w:r>
      <w:r>
        <w:rPr>
          <w:rStyle w:val="ColorGray"/>
        </w:rPr>
        <w:t xml:space="preserve"> </w:t>
      </w:r>
      <w:r>
        <w:t xml:space="preserve">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⟨N3⟩</w:t>
      </w:r>
      <w:r>
        <w:rPr>
          <w:rStyle w:val="ColorGray"/>
        </w:rPr>
        <w:t xml:space="preserve"> </w:t>
      </w:r>
      <w:r>
        <w:t xml:space="preserve">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⟨N4⟩</w:t>
      </w:r>
      <w:r>
        <w:rPr>
          <w:rStyle w:val="ColorGray"/>
        </w:rPr>
        <w:t xml:space="preserve"> </w:t>
      </w:r>
      <w:r>
        <w:t xml:space="preserve">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⟨N5⟩</w:t>
      </w:r>
      <w:r>
        <w:rPr>
          <w:rStyle w:val="ColorGray"/>
        </w:rPr>
        <w:t xml:space="preserve"> </w:t>
      </w:r>
      <w:r>
        <w:t xml:space="preserve">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⟨N6⟩</w:t>
      </w:r>
      <w:r>
        <w:rPr>
          <w:rStyle w:val="ColorGray"/>
        </w:rPr>
        <w:t xml:space="preserve"> </w:t>
      </w:r>
      <w:r>
        <w:t xml:space="preserve">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⟨N7⟩</w:t>
      </w:r>
      <w:r>
        <w:rPr>
          <w:rStyle w:val="ColorGray"/>
        </w:rPr>
        <w:t xml:space="preserve"> </w:t>
      </w:r>
      <w:r>
        <w:t xml:space="preserve">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⟨N8⟩</w:t>
      </w:r>
      <w:r>
        <w:rPr>
          <w:rStyle w:val="ColorGray"/>
        </w:rPr>
        <w:t xml:space="preserve"> </w:t>
      </w:r>
      <w:r>
        <w:t xml:space="preserve">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⟨N9⟩</w:t>
      </w:r>
      <w:r>
        <w:rPr>
          <w:rStyle w:val="ColorGray"/>
        </w:rPr>
        <w:t xml:space="preserve"> </w:t>
      </w:r>
      <w:r>
        <w:t xml:space="preserve">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⟨N10⟩</w:t>
      </w:r>
      <w:r>
        <w:rPr>
          <w:rStyle w:val="ColorGray"/>
        </w:rPr>
        <w:t xml:space="preserve"> </w:t>
      </w:r>
      <w:r>
        <w:t xml:space="preserve">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⟨N11⟩</w:t>
      </w:r>
      <w:r>
        <w:rPr>
          <w:rStyle w:val="ColorGray"/>
        </w:rPr>
        <w:t xml:space="preserve"> </w:t>
      </w:r>
      <w:r>
        <w:t xml:space="preserve">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⟨N12⟩</w:t>
      </w:r>
      <w:r>
        <w:rPr>
          <w:rStyle w:val="ColorGray"/>
        </w:rPr>
        <w:t xml:space="preserve"> </w:t>
      </w:r>
      <w:r>
        <w:t xml:space="preserve">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⟨N13⟩</w:t>
      </w:r>
      <w:r>
        <w:rPr>
          <w:rStyle w:val="ColorGray"/>
        </w:rPr>
        <w:t xml:space="preserve"> </w:t>
      </w:r>
      <w:r>
        <w:t xml:space="preserve">[…] (gvāl·)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⟨N14⟩</w:t>
      </w:r>
      <w:r>
        <w:rPr>
          <w:rStyle w:val="ColorGray"/>
        </w:rPr>
        <w:t xml:space="preserve"> </w:t>
      </w:r>
      <w:r>
        <w:t xml:space="preserve">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⟨N15⟩</w:t>
      </w:r>
      <w:r>
        <w:rPr>
          <w:rStyle w:val="ColorGray"/>
        </w:rPr>
        <w:t xml:space="preserve"> </w:t>
      </w:r>
      <w:r>
        <w:t xml:space="preserve">(gvāl·) ka[.][.]s· I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⟨N16⟩</w:t>
      </w:r>
      <w:r>
        <w:rPr>
          <w:rStyle w:val="ColorGray"/>
        </w:rPr>
        <w:t xml:space="preserve"> </w:t>
      </w:r>
      <w:r>
        <w:t xml:space="preserve">[…] pramān[·]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⟨N17⟩</w:t>
      </w:r>
      <w:r>
        <w:rPr>
          <w:rStyle w:val="ColorGray"/>
        </w:rPr>
        <w:t xml:space="preserve"> </w:t>
      </w:r>
      <w:r>
        <w:t xml:space="preserve">[1+] gvāl· kaṁpit· I gvāl· […] I gho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⟨N18⟩</w:t>
      </w:r>
      <w:r>
        <w:rPr>
          <w:rStyle w:val="ColorGray"/>
        </w:rPr>
        <w:t xml:space="preserve"> </w:t>
      </w:r>
      <w:r>
        <w:t xml:space="preserve">[2+] gho (Aṁ)[.](ay·) […] tai ratnā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⟨N19⟩</w:t>
      </w:r>
      <w:r>
        <w:rPr>
          <w:rStyle w:val="ColorGray"/>
        </w:rPr>
        <w:t xml:space="preserve"> </w:t>
      </w:r>
      <w:r>
        <w:t xml:space="preserve">tai (saṁ)Ap· I tai […] tai krau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⟨N20⟩</w:t>
      </w:r>
      <w:r>
        <w:rPr>
          <w:rStyle w:val="ColorGray"/>
        </w:rPr>
        <w:t xml:space="preserve"> </w:t>
      </w:r>
      <w:r>
        <w:t xml:space="preserve">[2+] tai dharmma I (tai) […] I tai Utpala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⟨N21⟩</w:t>
      </w:r>
      <w:r>
        <w:rPr>
          <w:rStyle w:val="ColorGray"/>
        </w:rPr>
        <w:t xml:space="preserve"> </w:t>
      </w:r>
      <w:r>
        <w:t xml:space="preserve">[3+] I tai kaṁ[…] tai [.]ña[.]na(deva)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⟨N22⟩</w:t>
      </w:r>
      <w:r>
        <w:rPr>
          <w:rStyle w:val="ColorGray"/>
        </w:rPr>
        <w:t xml:space="preserve"> </w:t>
      </w:r>
      <w:r>
        <w:t xml:space="preserve">[…] tai […] sa I tai kan[.]r[.]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⟨N23⟩</w:t>
      </w:r>
      <w:r>
        <w:rPr>
          <w:rStyle w:val="ColorGray"/>
        </w:rPr>
        <w:t xml:space="preserve"> </w:t>
      </w:r>
      <w:r>
        <w:t xml:space="preserve">[…] tai […] vrīhi I tai paṇdan·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⟨N24⟩</w:t>
      </w:r>
      <w:r>
        <w:rPr>
          <w:rStyle w:val="ColorGray"/>
        </w:rPr>
        <w:t xml:space="preserve"> </w:t>
      </w:r>
      <w:r>
        <w:t xml:space="preserve">[…] tai (maṅg)ala I tai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⟨N25⟩</w:t>
      </w:r>
      <w:r>
        <w:rPr>
          <w:rStyle w:val="ColorGray"/>
        </w:rPr>
        <w:t xml:space="preserve"> </w:t>
      </w:r>
      <w:r>
        <w:t xml:space="preserve">[…]no(ha) nu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⟨N26⟩</w:t>
      </w:r>
      <w:r>
        <w:rPr>
          <w:rStyle w:val="ColorGray"/>
        </w:rPr>
        <w:t xml:space="preserve"> </w:t>
      </w:r>
      <w:r>
        <w:t xml:space="preserve">[…]ñjuṅ· I tai dharmma I</w:t>
      </w:r>
    </w:p>
    <w:p>
      <w:pPr>
        <w:pStyle w:val="Heading1"/>
      </w:pPr>
      <w:r>
        <w:t xml:space="preserve">Translation into French by Soutif 2009</w:t>
      </w:r>
    </w:p>
    <w:p>
      <w:pPr>
        <w:pStyle w:val="FirstParagraph"/>
      </w:pPr>
      <w:r>
        <w:rPr>
          <w:rStyle w:val="ColorGray"/>
        </w:rPr>
        <w:t xml:space="preserve">⟨S1–18⟩</w:t>
      </w:r>
      <w:r>
        <w:t xml:space="preserve"> </w:t>
      </w:r>
      <w:r>
        <w:t xml:space="preserve">(Selon Cœdès, une première liste de serviteurs est suivie de l’en-tête du groupe suivant : « gens qui servent pendant la quinzaine claire ». Cette deuxième liste débute par un chef de commune (un</w:t>
      </w:r>
      <w:r>
        <w:t xml:space="preserve"> </w:t>
      </w:r>
      <w:r>
        <w:rPr>
          <w:i/>
          <w:iCs/>
        </w:rPr>
        <w:t xml:space="preserve">gho</w:t>
      </w:r>
      <w:r>
        <w:t xml:space="preserve">) ; il est naturellement impossible de garantir que les musiciennes</w:t>
      </w:r>
      <w:r>
        <w:t xml:space="preserve"> </w:t>
      </w:r>
      <w:r>
        <w:rPr>
          <w:i/>
          <w:iCs/>
        </w:rPr>
        <w:t xml:space="preserve">tai</w:t>
      </w:r>
      <w:r>
        <w:t xml:space="preserve"> </w:t>
      </w:r>
      <w:r>
        <w:t xml:space="preserve">de la ligne 16 appartiennent à la même liste, mais cette hypothèse est vraisemblable.)</w:t>
      </w:r>
    </w:p>
    <w:p>
      <w:pPr>
        <w:pStyle w:val="BodyText"/>
      </w:pPr>
      <w:r>
        <w:rPr>
          <w:rStyle w:val="ColorGray"/>
        </w:rPr>
        <w:t xml:space="preserve">⟨S19–22⟩</w:t>
      </w:r>
      <w:r>
        <w:t xml:space="preserve"> </w:t>
      </w:r>
      <w:r>
        <w:t xml:space="preserve">Joueuses de</w:t>
      </w:r>
      <w:r>
        <w:t xml:space="preserve"> </w:t>
      </w:r>
      <w:r>
        <w:rPr>
          <w:i/>
          <w:iCs/>
        </w:rPr>
        <w:t xml:space="preserve">vīṇā</w:t>
      </w:r>
      <w:r>
        <w:t xml:space="preserve"> </w:t>
      </w:r>
      <w:r>
        <w:t xml:space="preserve">: (suit une liste de</w:t>
      </w:r>
      <w:r>
        <w:t xml:space="preserve"> </w:t>
      </w:r>
      <w:r>
        <w:rPr>
          <w:i/>
          <w:iCs/>
        </w:rPr>
        <w:t xml:space="preserve">tai</w:t>
      </w:r>
      <w:r>
        <w:t xml:space="preserve"> </w:t>
      </w:r>
      <w:r>
        <w:t xml:space="preserve">se poursuivant, au maximum, jusqu’à la ligne 22).</w:t>
      </w:r>
    </w:p>
    <w:p>
      <w:pPr>
        <w:pStyle w:val="BodyText"/>
      </w:pPr>
      <w:r>
        <w:rPr>
          <w:rStyle w:val="ColorGray"/>
        </w:rPr>
        <w:t xml:space="preserve">⟨S22–23⟩</w:t>
      </w:r>
      <w:r>
        <w:t xml:space="preserve"> </w:t>
      </w:r>
      <w:r>
        <w:t xml:space="preserve">Gardiens du jardin : (suit une liste comportant des</w:t>
      </w:r>
      <w:r>
        <w:t xml:space="preserve"> </w:t>
      </w:r>
      <w:r>
        <w:rPr>
          <w:i/>
          <w:iCs/>
        </w:rPr>
        <w:t xml:space="preserve">tai</w:t>
      </w:r>
      <w:r>
        <w:t xml:space="preserve">, des</w:t>
      </w:r>
      <w:r>
        <w:t xml:space="preserve"> </w:t>
      </w:r>
      <w:r>
        <w:rPr>
          <w:i/>
          <w:iCs/>
        </w:rPr>
        <w:t xml:space="preserve">lap</w:t>
      </w:r>
      <w:r>
        <w:t xml:space="preserve"> </w:t>
      </w:r>
      <w:r>
        <w:t xml:space="preserve">et des</w:t>
      </w:r>
      <w:r>
        <w:t xml:space="preserve"> </w:t>
      </w:r>
      <w:r>
        <w:rPr>
          <w:i/>
          <w:iCs/>
        </w:rPr>
        <w:t xml:space="preserve">gho</w:t>
      </w:r>
      <w:r>
        <w:t xml:space="preserve">).</w:t>
      </w:r>
    </w:p>
    <w:p>
      <w:pPr>
        <w:pStyle w:val="BodyText"/>
      </w:pPr>
      <w:r>
        <w:rPr>
          <w:rStyle w:val="ColorGray"/>
        </w:rPr>
        <w:t xml:space="preserve">⟨S24–33⟩</w:t>
      </w:r>
      <w:r>
        <w:t xml:space="preserve"> </w:t>
      </w:r>
      <w:r>
        <w:t xml:space="preserve">Une aiguière en or ⟨pesant⟩ 10</w:t>
      </w:r>
      <w:r>
        <w:t xml:space="preserve"> </w:t>
      </w:r>
      <w:r>
        <w:rPr>
          <w:i/>
          <w:iCs/>
        </w:rPr>
        <w:t xml:space="preserve">liṅ</w:t>
      </w:r>
      <w:r>
        <w:t xml:space="preserve">, […] ; […] ⟨pesant⟩ […] deux</w:t>
      </w:r>
      <w:r>
        <w:t xml:space="preserve"> </w:t>
      </w:r>
      <w:r>
        <w:rPr>
          <w:i/>
          <w:iCs/>
        </w:rPr>
        <w:t xml:space="preserve">pāda</w:t>
      </w:r>
      <w:r>
        <w:t xml:space="preserve"> </w:t>
      </w:r>
      <w:r>
        <w:t xml:space="preserve">; une boîte en or ⟨pesant⟩ 3</w:t>
      </w:r>
      <w:r>
        <w:t xml:space="preserve"> </w:t>
      </w:r>
      <w:r>
        <w:rPr>
          <w:i/>
          <w:iCs/>
        </w:rPr>
        <w:t xml:space="preserve">liṅ</w:t>
      </w:r>
      <w:r>
        <w:t xml:space="preserve">, x</w:t>
      </w:r>
      <w:r>
        <w:t xml:space="preserve"> </w:t>
      </w:r>
      <w:r>
        <w:rPr>
          <w:i/>
          <w:iCs/>
        </w:rPr>
        <w:t xml:space="preserve">pāda</w:t>
      </w:r>
      <w:r>
        <w:t xml:space="preserve"> </w:t>
      </w:r>
      <w:r>
        <w:t xml:space="preserve">; […]</w:t>
      </w:r>
      <w:r>
        <w:t xml:space="preserve"> </w:t>
      </w:r>
      <w:r>
        <w:rPr>
          <w:i/>
          <w:iCs/>
        </w:rPr>
        <w:t xml:space="preserve">man hir</w:t>
      </w:r>
      <w:r>
        <w:t xml:space="preserve"> </w:t>
      </w:r>
      <w:r>
        <w:t xml:space="preserve">⟨pesant⟩ 3</w:t>
      </w:r>
      <w:r>
        <w:t xml:space="preserve"> </w:t>
      </w:r>
      <w:r>
        <w:rPr>
          <w:i/>
          <w:iCs/>
        </w:rPr>
        <w:t xml:space="preserve">liṅ</w:t>
      </w:r>
      <w:r>
        <w:t xml:space="preserve">, 2</w:t>
      </w:r>
      <w:r>
        <w:t xml:space="preserve"> </w:t>
      </w:r>
      <w:r>
        <w:rPr>
          <w:i/>
          <w:iCs/>
        </w:rPr>
        <w:t xml:space="preserve">pāda</w:t>
      </w:r>
      <w:r>
        <w:t xml:space="preserve"> </w:t>
      </w:r>
      <w:r>
        <w:t xml:space="preserve">; un récipient (</w:t>
      </w:r>
      <w:r>
        <w:rPr>
          <w:i/>
          <w:iCs/>
        </w:rPr>
        <w:t xml:space="preserve">nu</w:t>
      </w:r>
      <w:r>
        <w:t xml:space="preserve">) ovoïde en argent ⟨pesant⟩ x</w:t>
      </w:r>
      <w:r>
        <w:t xml:space="preserve"> </w:t>
      </w:r>
      <w:r>
        <w:rPr>
          <w:i/>
          <w:iCs/>
        </w:rPr>
        <w:t xml:space="preserve">liṅ</w:t>
      </w:r>
      <w:r>
        <w:t xml:space="preserve">, […] ; […] en argent ⟨pesant⟩ 2</w:t>
      </w:r>
      <w:r>
        <w:t xml:space="preserve"> </w:t>
      </w:r>
      <w:r>
        <w:rPr>
          <w:i/>
          <w:iCs/>
        </w:rPr>
        <w:t xml:space="preserve">liṅ</w:t>
      </w:r>
      <w:r>
        <w:t xml:space="preserve"> </w:t>
      </w:r>
      <w:r>
        <w:t xml:space="preserve">; une autre boîte en argent ⟨pesant⟩ x</w:t>
      </w:r>
      <w:r>
        <w:t xml:space="preserve"> </w:t>
      </w:r>
      <w:r>
        <w:rPr>
          <w:i/>
          <w:iCs/>
        </w:rPr>
        <w:t xml:space="preserve">liṅ</w:t>
      </w:r>
      <w:r>
        <w:t xml:space="preserve">, […] ; […] ⟨pesant⟩ […] deux</w:t>
      </w:r>
      <w:r>
        <w:t xml:space="preserve"> </w:t>
      </w:r>
      <w:r>
        <w:rPr>
          <w:i/>
          <w:iCs/>
        </w:rPr>
        <w:t xml:space="preserve">pāda</w:t>
      </w:r>
      <w:r>
        <w:t xml:space="preserve"> </w:t>
      </w:r>
      <w:r>
        <w:t xml:space="preserve">; une autre boîte en argent ⟨pesant⟩ cinq</w:t>
      </w:r>
      <w:r>
        <w:t xml:space="preserve"> </w:t>
      </w:r>
      <w:r>
        <w:rPr>
          <w:i/>
          <w:iCs/>
        </w:rPr>
        <w:t xml:space="preserve">liṅ</w:t>
      </w:r>
      <w:r>
        <w:t xml:space="preserve">, […] ; une autre aiguière en argent ⟨pesant⟩ 5</w:t>
      </w:r>
      <w:r>
        <w:t xml:space="preserve"> </w:t>
      </w:r>
      <w:r>
        <w:rPr>
          <w:i/>
          <w:iCs/>
        </w:rPr>
        <w:t xml:space="preserve">liṅ</w:t>
      </w:r>
      <w:r>
        <w:t xml:space="preserve"> </w:t>
      </w:r>
      <w:r>
        <w:t xml:space="preserve">; un pichet (</w:t>
      </w:r>
      <w:r>
        <w:rPr>
          <w:i/>
          <w:iCs/>
        </w:rPr>
        <w:t xml:space="preserve">klas</w:t>
      </w:r>
      <w:r>
        <w:t xml:space="preserve">) en argent […] ; un autre (pichet) en argent ⟨pesant⟩ 2</w:t>
      </w:r>
      <w:r>
        <w:t xml:space="preserve"> </w:t>
      </w:r>
      <w:r>
        <w:rPr>
          <w:i/>
          <w:iCs/>
        </w:rPr>
        <w:t xml:space="preserve">jyaṅ</w:t>
      </w:r>
      <w:r>
        <w:t xml:space="preserve">, 10</w:t>
      </w:r>
      <w:r>
        <w:t xml:space="preserve"> </w:t>
      </w:r>
      <w:r>
        <w:rPr>
          <w:i/>
          <w:iCs/>
        </w:rPr>
        <w:t xml:space="preserve">liṅ</w:t>
      </w:r>
      <w:r>
        <w:t xml:space="preserve"> </w:t>
      </w:r>
      <w:r>
        <w:t xml:space="preserve">; une calebasse en argent […] deux calebasses pour les ablutions pesant 1</w:t>
      </w:r>
      <w:r>
        <w:t xml:space="preserve"> </w:t>
      </w:r>
      <w:r>
        <w:rPr>
          <w:i/>
          <w:iCs/>
        </w:rPr>
        <w:t xml:space="preserve">jyaṅ</w:t>
      </w:r>
      <w:r>
        <w:t xml:space="preserve">, x</w:t>
      </w:r>
      <w:r>
        <w:t xml:space="preserve"> </w:t>
      </w:r>
      <w:r>
        <w:rPr>
          <w:i/>
          <w:iCs/>
        </w:rPr>
        <w:t xml:space="preserve">liṅ</w:t>
      </w:r>
      <w:r>
        <w:t xml:space="preserve">, […] ; […] ⟨pesant⟩ 1</w:t>
      </w:r>
      <w:r>
        <w:t xml:space="preserve"> </w:t>
      </w:r>
      <w:r>
        <w:rPr>
          <w:i/>
          <w:iCs/>
        </w:rPr>
        <w:t xml:space="preserve">jyaṅ</w:t>
      </w:r>
      <w:r>
        <w:t xml:space="preserve">, 5</w:t>
      </w:r>
      <w:r>
        <w:t xml:space="preserve"> </w:t>
      </w:r>
      <w:r>
        <w:rPr>
          <w:i/>
          <w:iCs/>
        </w:rPr>
        <w:t xml:space="preserve">liṅ</w:t>
      </w:r>
      <w:r>
        <w:t xml:space="preserve"> </w:t>
      </w:r>
      <w:r>
        <w:t xml:space="preserve">; deux coupes ⟨pesant⟩ deux</w:t>
      </w:r>
      <w:r>
        <w:t xml:space="preserve"> </w:t>
      </w:r>
      <w:r>
        <w:rPr>
          <w:i/>
          <w:iCs/>
        </w:rPr>
        <w:t xml:space="preserve">liṅ</w:t>
      </w:r>
      <w:r>
        <w:t xml:space="preserve">, […] ; […] ⟨pesant⟩ un</w:t>
      </w:r>
      <w:r>
        <w:t xml:space="preserve"> </w:t>
      </w:r>
      <w:r>
        <w:rPr>
          <w:i/>
          <w:iCs/>
        </w:rPr>
        <w:t xml:space="preserve">jyaṅ</w:t>
      </w:r>
      <w:r>
        <w:t xml:space="preserve">, deux</w:t>
      </w:r>
      <w:r>
        <w:t xml:space="preserve"> </w:t>
      </w:r>
      <w:r>
        <w:rPr>
          <w:i/>
          <w:iCs/>
        </w:rPr>
        <w:t xml:space="preserve">liṅ</w:t>
      </w:r>
      <w:r>
        <w:t xml:space="preserve"> </w:t>
      </w:r>
      <w:r>
        <w:t xml:space="preserve">;</w:t>
      </w:r>
    </w:p>
    <w:p>
      <w:pPr>
        <w:pStyle w:val="BodyText"/>
      </w:pPr>
      <w:r>
        <w:rPr>
          <w:rStyle w:val="ColorGray"/>
        </w:rPr>
        <w:t xml:space="preserve">⟨S34–41⟩</w:t>
      </w:r>
      <w:r>
        <w:t xml:space="preserve"> </w:t>
      </w:r>
      <w:r>
        <w:t xml:space="preserve">un autre</w:t>
      </w:r>
      <w:r>
        <w:t xml:space="preserve"> </w:t>
      </w:r>
      <w:r>
        <w:rPr>
          <w:i/>
          <w:iCs/>
        </w:rPr>
        <w:t xml:space="preserve">Āyoti</w:t>
      </w:r>
      <w:r>
        <w:t xml:space="preserve"> </w:t>
      </w:r>
      <w:r>
        <w:t xml:space="preserve">⟨pesant⟩ x</w:t>
      </w:r>
      <w:r>
        <w:t xml:space="preserve"> </w:t>
      </w:r>
      <w:r>
        <w:rPr>
          <w:i/>
          <w:iCs/>
        </w:rPr>
        <w:t xml:space="preserve">liṅ</w:t>
      </w:r>
      <w:r>
        <w:t xml:space="preserve">, […] ; […]</w:t>
      </w:r>
      <w:r>
        <w:t xml:space="preserve"> </w:t>
      </w:r>
      <w:r>
        <w:rPr>
          <w:i/>
          <w:iCs/>
        </w:rPr>
        <w:t xml:space="preserve">man hir</w:t>
      </w:r>
      <w:r>
        <w:t xml:space="preserve"> </w:t>
      </w:r>
      <w:r>
        <w:t xml:space="preserve">⟨pesant⟩ quatre</w:t>
      </w:r>
      <w:r>
        <w:t xml:space="preserve"> </w:t>
      </w:r>
      <w:r>
        <w:rPr>
          <w:i/>
          <w:iCs/>
        </w:rPr>
        <w:t xml:space="preserve">jyaṅ</w:t>
      </w:r>
      <w:r>
        <w:t xml:space="preserve">, 10</w:t>
      </w:r>
      <w:r>
        <w:t xml:space="preserve"> </w:t>
      </w:r>
      <w:r>
        <w:rPr>
          <w:i/>
          <w:iCs/>
        </w:rPr>
        <w:t xml:space="preserve">liṅ</w:t>
      </w:r>
      <w:r>
        <w:t xml:space="preserve"> </w:t>
      </w:r>
      <w:r>
        <w:t xml:space="preserve">; un vase (bhājana) ⟨qui est une⟩ coupe à libation ⟨pesant⟩ x</w:t>
      </w:r>
      <w:r>
        <w:t xml:space="preserve"> </w:t>
      </w:r>
      <w:r>
        <w:rPr>
          <w:i/>
          <w:iCs/>
        </w:rPr>
        <w:t xml:space="preserve">jyaṅ</w:t>
      </w:r>
      <w:r>
        <w:t xml:space="preserve">, […] 3 […] ; un revêtement de rigole d’écoulement en argent</w:t>
      </w:r>
      <w:r>
        <w:t xml:space="preserve"> </w:t>
      </w:r>
      <w:r>
        <w:rPr>
          <w:i/>
          <w:iCs/>
        </w:rPr>
        <w:t xml:space="preserve">man hir</w:t>
      </w:r>
      <w:r>
        <w:t xml:space="preserve"> </w:t>
      </w:r>
      <w:r>
        <w:t xml:space="preserve">⟨pesant⟩ x</w:t>
      </w:r>
      <w:r>
        <w:t xml:space="preserve"> </w:t>
      </w:r>
      <w:r>
        <w:rPr>
          <w:i/>
          <w:iCs/>
        </w:rPr>
        <w:t xml:space="preserve">jyaṅ</w:t>
      </w:r>
      <w:r>
        <w:t xml:space="preserve">, […] 3 […] ; […] un autre vase ⟨pesant⟩ 2</w:t>
      </w:r>
      <w:r>
        <w:t xml:space="preserve"> </w:t>
      </w:r>
      <w:r>
        <w:rPr>
          <w:i/>
          <w:iCs/>
        </w:rPr>
        <w:t xml:space="preserve">jyaṅ</w:t>
      </w:r>
      <w:r>
        <w:t xml:space="preserve">, 10</w:t>
      </w:r>
      <w:r>
        <w:t xml:space="preserve"> </w:t>
      </w:r>
      <w:r>
        <w:rPr>
          <w:i/>
          <w:iCs/>
        </w:rPr>
        <w:t xml:space="preserve">liṅ</w:t>
      </w:r>
      <w:r>
        <w:t xml:space="preserve">, […] ; […] ; 9 […]</w:t>
      </w:r>
      <w:r>
        <w:t xml:space="preserve"> </w:t>
      </w:r>
      <w:r>
        <w:rPr>
          <w:i/>
          <w:iCs/>
        </w:rPr>
        <w:t xml:space="preserve">Aṁvau</w:t>
      </w:r>
      <w:r>
        <w:t xml:space="preserve"> </w:t>
      </w:r>
      <w:r>
        <w:t xml:space="preserve">pesant 1</w:t>
      </w:r>
      <w:r>
        <w:t xml:space="preserve"> </w:t>
      </w:r>
      <w:r>
        <w:rPr>
          <w:i/>
          <w:iCs/>
        </w:rPr>
        <w:t xml:space="preserve">jyaṅ</w:t>
      </w:r>
      <w:r>
        <w:t xml:space="preserve">, 10</w:t>
      </w:r>
      <w:r>
        <w:t xml:space="preserve"> </w:t>
      </w:r>
      <w:r>
        <w:rPr>
          <w:i/>
          <w:iCs/>
        </w:rPr>
        <w:t xml:space="preserve">liṅ</w:t>
      </w:r>
      <w:r>
        <w:t xml:space="preserve">, […] ; […] en or […]</w:t>
      </w:r>
      <w:r>
        <w:t xml:space="preserve"> </w:t>
      </w:r>
      <w:r>
        <w:rPr>
          <w:i/>
          <w:iCs/>
        </w:rPr>
        <w:t xml:space="preserve">man hir</w:t>
      </w:r>
      <w:r>
        <w:t xml:space="preserve"> </w:t>
      </w:r>
      <w:r>
        <w:t xml:space="preserve">[…] en (argent) ⟨pesant⟩ x</w:t>
      </w:r>
      <w:r>
        <w:t xml:space="preserve"> </w:t>
      </w:r>
      <w:r>
        <w:rPr>
          <w:i/>
          <w:iCs/>
        </w:rPr>
        <w:t xml:space="preserve">liṅ</w:t>
      </w:r>
      <w:r>
        <w:t xml:space="preserve"> </w:t>
      </w:r>
      <w:r>
        <w:t xml:space="preserve">[…].</w:t>
      </w:r>
    </w:p>
    <w:p>
      <w:pPr>
        <w:pStyle w:val="Heading1"/>
      </w:pPr>
      <w:r>
        <w:t xml:space="preserve">Commentary</w:t>
      </w:r>
    </w:p>
    <w:p>
      <w:pPr>
        <w:pStyle w:val="FirstParagraph"/>
      </w:pPr>
      <w:r>
        <w:t xml:space="preserve">A porpos du piédrois sud, les 16 premières lignes signalées dans l’inventaire sont détruites ou illisibles. L’extrait de la ligne 9 est donné par Cœdès (IC IV, p. 45). On peut seulement lire les derniers caractères des lignes 12, 13 et 14, respectivement :</w:t>
      </w:r>
      <w:r>
        <w:t xml:space="preserve"> </w:t>
      </w:r>
      <w:r>
        <w:rPr>
          <w:i/>
          <w:iCs/>
        </w:rPr>
        <w:t xml:space="preserve">p·</w:t>
      </w:r>
      <w:r>
        <w:t xml:space="preserve">,</w:t>
      </w:r>
      <w:r>
        <w:t xml:space="preserve"> </w:t>
      </w:r>
      <w:r>
        <w:rPr>
          <w:i/>
          <w:iCs/>
        </w:rPr>
        <w:t xml:space="preserve">n·</w:t>
      </w:r>
      <w:r>
        <w:t xml:space="preserve"> </w:t>
      </w:r>
      <w:r>
        <w:t xml:space="preserve">;</w:t>
      </w:r>
      <w:r>
        <w:t xml:space="preserve"> </w:t>
      </w:r>
      <w:r>
        <w:rPr>
          <w:i/>
          <w:iCs/>
        </w:rPr>
        <w:t xml:space="preserve">ja</w:t>
      </w:r>
      <w:r>
        <w:t xml:space="preserve">.</w:t>
      </w:r>
    </w:p>
    <w:p>
      <w:pPr>
        <w:pStyle w:val="BodyText"/>
      </w:pPr>
      <w:r>
        <w:rPr>
          <w:rStyle w:val="ColorGray"/>
        </w:rPr>
        <w:t xml:space="preserve">⟨S22⟩</w:t>
      </w:r>
      <w:r>
        <w:t xml:space="preserve"> </w:t>
      </w:r>
      <w:r>
        <w:t xml:space="preserve">A propos de</w:t>
      </w:r>
      <w:r>
        <w:t xml:space="preserve"> </w:t>
      </w:r>
      <w:r>
        <w:rPr>
          <w:i/>
          <w:iCs/>
        </w:rPr>
        <w:t xml:space="preserve">gaja</w:t>
      </w:r>
      <w:r>
        <w:t xml:space="preserve">, on pourrait lire</w:t>
      </w:r>
      <w:r>
        <w:t xml:space="preserve"> </w:t>
      </w:r>
      <w:r>
        <w:rPr>
          <w:i/>
          <w:iCs/>
        </w:rPr>
        <w:t xml:space="preserve">rāja</w:t>
      </w:r>
      <w:r>
        <w:t xml:space="preserve">, mais ce type de</w:t>
      </w:r>
      <w:r>
        <w:t xml:space="preserve"> </w:t>
      </w:r>
      <w:r>
        <w:rPr>
          <w:i/>
          <w:iCs/>
        </w:rPr>
        <w:t xml:space="preserve">ra</w:t>
      </w:r>
      <w:r>
        <w:t xml:space="preserve"> </w:t>
      </w:r>
      <w:r>
        <w:t xml:space="preserve">à simple haste plus récent, n’apparaît pas dans cette inscription (cf. rāja, l. 21). De plus, théoriquement on devrait ici avoir</w:t>
      </w:r>
      <w:r>
        <w:t xml:space="preserve"> </w:t>
      </w:r>
      <w:r>
        <w:rPr>
          <w:i/>
          <w:iCs/>
        </w:rPr>
        <w:t xml:space="preserve">tai rāja sot·</w:t>
      </w:r>
      <w:r>
        <w:t xml:space="preserve"> </w:t>
      </w:r>
      <w:r>
        <w:t xml:space="preserve">: « une autre tai Rāja ».</w:t>
      </w:r>
    </w:p>
    <w:p>
      <w:pPr>
        <w:pStyle w:val="BodyText"/>
      </w:pPr>
      <w:r>
        <w:rPr>
          <w:rStyle w:val="ColorGray"/>
        </w:rPr>
        <w:t xml:space="preserve">⟨S29⟩</w:t>
      </w:r>
      <w:r>
        <w:t xml:space="preserve"> </w:t>
      </w:r>
      <w:r>
        <w:t xml:space="preserve">Pour la restitution de</w:t>
      </w:r>
      <w:r>
        <w:t xml:space="preserve"> </w:t>
      </w:r>
      <w:r>
        <w:rPr>
          <w:i/>
          <w:iCs/>
        </w:rPr>
        <w:t xml:space="preserve">jyaṅ</w:t>
      </w:r>
      <w:r>
        <w:t xml:space="preserve">, cf.</w:t>
      </w:r>
      <w:r>
        <w:t xml:space="preserve"> </w:t>
      </w:r>
      <w:r>
        <w:rPr>
          <w:i/>
          <w:iCs/>
        </w:rPr>
        <w:t xml:space="preserve">li</w:t>
      </w:r>
      <w:r>
        <w:t xml:space="preserve">, l. 24 et</w:t>
      </w:r>
      <w:r>
        <w:t xml:space="preserve"> </w:t>
      </w:r>
      <w:r>
        <w:rPr>
          <w:i/>
          <w:iCs/>
        </w:rPr>
        <w:t xml:space="preserve">jya</w:t>
      </w:r>
      <w:r>
        <w:t xml:space="preserve">, l. 31, l. 36.</w:t>
      </w:r>
    </w:p>
    <w:p>
      <w:pPr>
        <w:pStyle w:val="BodyText"/>
      </w:pPr>
      <w:r>
        <w:rPr>
          <w:rStyle w:val="ColorGray"/>
        </w:rPr>
        <w:t xml:space="preserve">⟨S33⟩</w:t>
      </w:r>
      <w:r>
        <w:t xml:space="preserve"> </w:t>
      </w:r>
      <w:r>
        <w:t xml:space="preserve">A propos de</w:t>
      </w:r>
      <w:r>
        <w:t xml:space="preserve"> </w:t>
      </w:r>
      <w:r>
        <w:rPr>
          <w:i/>
          <w:iCs/>
        </w:rPr>
        <w:t xml:space="preserve">āyoti</w:t>
      </w:r>
      <w:r>
        <w:t xml:space="preserve">, on pourrait lire</w:t>
      </w:r>
      <w:r>
        <w:t xml:space="preserve"> </w:t>
      </w:r>
      <w:r>
        <w:rPr>
          <w:i/>
          <w:iCs/>
        </w:rPr>
        <w:t xml:space="preserve">Āyobhi</w:t>
      </w:r>
      <w:r>
        <w:t xml:space="preserve">, mais la forme du</w:t>
      </w:r>
      <w:r>
        <w:t xml:space="preserve"> </w:t>
      </w:r>
      <w:r>
        <w:rPr>
          <w:i/>
          <w:iCs/>
        </w:rPr>
        <w:t xml:space="preserve">bha</w:t>
      </w:r>
      <w:r>
        <w:t xml:space="preserve"> </w:t>
      </w:r>
      <w:r>
        <w:t xml:space="preserve">des lignes 34 et 35 rend cette lecture peu probable.</w:t>
      </w:r>
    </w:p>
    <w:p>
      <w:pPr>
        <w:pStyle w:val="BodyText"/>
      </w:pPr>
      <w:r>
        <w:rPr>
          <w:rStyle w:val="ColorGray"/>
        </w:rPr>
        <w:t xml:space="preserve">⟨S35⟩</w:t>
      </w:r>
      <w:r>
        <w:t xml:space="preserve"> </w:t>
      </w:r>
      <w:r>
        <w:t xml:space="preserve">A propos de</w:t>
      </w:r>
      <w:r>
        <w:t xml:space="preserve"> </w:t>
      </w:r>
      <w:r>
        <w:rPr>
          <w:i/>
          <w:iCs/>
        </w:rPr>
        <w:t xml:space="preserve">mana</w:t>
      </w:r>
      <w:r>
        <w:t xml:space="preserve">, il n’y avait pas la place de graver le</w:t>
      </w:r>
      <w:r>
        <w:t xml:space="preserve"> </w:t>
      </w:r>
      <w:r>
        <w:rPr>
          <w:i/>
          <w:iCs/>
        </w:rPr>
        <w:t xml:space="preserve">virāma</w:t>
      </w:r>
      <w:r>
        <w:t xml:space="preserve"> </w:t>
      </w:r>
      <w:r>
        <w:t xml:space="preserve">en raison du</w:t>
      </w:r>
      <w:r>
        <w:t xml:space="preserve"> </w:t>
      </w:r>
      <w:r>
        <w:rPr>
          <w:i/>
          <w:iCs/>
        </w:rPr>
        <w:t xml:space="preserve">ña</w:t>
      </w:r>
      <w:r>
        <w:t xml:space="preserve"> </w:t>
      </w:r>
      <w:r>
        <w:t xml:space="preserve">souscrit de</w:t>
      </w:r>
      <w:r>
        <w:t xml:space="preserve"> </w:t>
      </w:r>
      <w:r>
        <w:rPr>
          <w:i/>
          <w:iCs/>
        </w:rPr>
        <w:t xml:space="preserve">yajñakośa</w:t>
      </w:r>
      <w:r>
        <w:t xml:space="preserve">.</w:t>
      </w:r>
    </w:p>
    <w:p>
      <w:pPr>
        <w:pStyle w:val="BodyText"/>
      </w:pPr>
      <w:r>
        <w:rPr>
          <w:rStyle w:val="ColorGray"/>
        </w:rPr>
        <w:t xml:space="preserve">⟨S37⟩</w:t>
      </w:r>
      <w:r>
        <w:t xml:space="preserve"> </w:t>
      </w:r>
      <w:r>
        <w:t xml:space="preserve">La lecture de</w:t>
      </w:r>
      <w:r>
        <w:t xml:space="preserve"> </w:t>
      </w:r>
      <w:r>
        <w:rPr>
          <w:i/>
          <w:iCs/>
        </w:rPr>
        <w:t xml:space="preserve">rat</w:t>
      </w:r>
      <w:r>
        <w:t xml:space="preserve"> </w:t>
      </w:r>
      <w:r>
        <w:t xml:space="preserve">est très incertaine. Peut-être faut-il lire</w:t>
      </w:r>
      <w:r>
        <w:t xml:space="preserve"> </w:t>
      </w:r>
      <w:r>
        <w:rPr>
          <w:i/>
          <w:iCs/>
        </w:rPr>
        <w:t xml:space="preserve">ratna</w:t>
      </w:r>
      <w:r>
        <w:t xml:space="preserve">.</w:t>
      </w:r>
    </w:p>
    <w:p>
      <w:pPr>
        <w:pStyle w:val="BodyText"/>
      </w:pPr>
      <w:r>
        <w:rPr>
          <w:rStyle w:val="ColorGray"/>
        </w:rPr>
        <w:t xml:space="preserve">⟨S41⟩</w:t>
      </w:r>
      <w:r>
        <w:t xml:space="preserve"> </w:t>
      </w:r>
      <w:r>
        <w:t xml:space="preserve">Cette ligne n’apparaît pas sur notre estampage, mais Cœdès indiquait 41 lignes dans son inventaire.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Edited by Dominique Soutif (2009, p. 442) with a French translation.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[DS]</w:t>
      </w:r>
      <w:r>
        <w:t xml:space="preserve"> </w:t>
      </w:r>
      <w:r>
        <w:t xml:space="preserve">Soutif, Dominique. 2009. “Organisation rituelle et profane du temple khmer du</w:t>
      </w:r>
      <w:r>
        <w:t xml:space="preserve"> </w:t>
      </w:r>
      <w:r>
        <w:rPr>
          <w:smallCaps/>
        </w:rPr>
        <w:t xml:space="preserve">vii</w:t>
      </w:r>
      <w:r>
        <w:rPr>
          <w:vertAlign w:val="superscript"/>
        </w:rPr>
        <w:t xml:space="preserve">ème</w:t>
      </w:r>
      <w:r>
        <w:t xml:space="preserve"> </w:t>
      </w:r>
      <w:r>
        <w:t xml:space="preserve">au</w:t>
      </w:r>
      <w:r>
        <w:t xml:space="preserve"> </w:t>
      </w:r>
      <w:r>
        <w:rPr>
          <w:smallCaps/>
        </w:rPr>
        <w:t xml:space="preserve">xiii</w:t>
      </w:r>
      <w:r>
        <w:rPr>
          <w:vertAlign w:val="superscript"/>
        </w:rPr>
        <w:t xml:space="preserve">ème</w:t>
      </w:r>
      <w:r>
        <w:t xml:space="preserve"> </w:t>
      </w:r>
      <w:r>
        <w:t xml:space="preserve">siècle.” PhD Thesis, Paris III - Sorbonne nouvelle. No place.</w:t>
      </w:r>
      <w:r>
        <w:t xml:space="preserve"> </w:t>
      </w:r>
      <w:hyperlink r:id="rId9">
        <w:r>
          <w:rPr>
            <w:rStyle w:val="Hyperlink"/>
          </w:rPr>
          <w:t xml:space="preserve">[URL]</w:t>
        </w:r>
      </w:hyperlink>
      <w:r>
        <w:t xml:space="preserve">. Page 442.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://www.theses.fr/2009PA03007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://www.theses.fr/2009PA030074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K. 934. Doorjamb of the central tower at Prasat Srange or Dei Dom, 9th century Śaka</dc:title>
  <dc:creator>Kunthea Chhom and Dominique Soutif</dc:creator>
  <cp:keywords/>
  <dcterms:created xsi:type="dcterms:W3CDTF">2026-10-09T12:42:09Z</dcterms:created>
  <dcterms:modified xsi:type="dcterms:W3CDTF">2026-10-09T12:42:09Z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