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652. Column of Romduol, 609 Śaka</w:t>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DHARMA_INSCIK00652</w:t>
      </w:r>
    </w:p>
    <w:p>
      <w:pPr>
        <w:pStyle w:val="BodyText"/>
      </w:pPr>
      <w:r>
        <w:t xml:space="preserve">Repository: Khmer (tfc-khmer-epigraphy)</w:t>
      </w:r>
    </w:p>
    <w:p>
      <w:pPr>
        <w:pStyle w:val="BodyText"/>
      </w:pPr>
      <w:r>
        <w:t xml:space="preserve">File path: texts/xml/DHARMA_INSCIK00652.xml</w:t>
      </w:r>
    </w:p>
    <w:p>
      <w:pPr>
        <w:pStyle w:val="BodyText"/>
      </w:pPr>
      <w:r>
        <w:t xml:space="preserve">Language: Sanskrit [Khmer]</w:t>
      </w:r>
    </w:p>
    <w:p>
      <w:pPr>
        <w:pStyle w:val="BodyText"/>
      </w:pPr>
      <w:r>
        <w:t xml:space="preserve">Commit: 2026-10-23 15:46 (7597515), last modified 2026-09-19 07:30 (6c36829)</w:t>
      </w:r>
    </w:p>
    <w:p>
      <w:pPr>
        <w:pStyle w:val="Heading1"/>
      </w:pPr>
      <w:r>
        <w:t xml:space="preserve">Palaeographic description</w:t>
      </w:r>
    </w:p>
    <w:p>
      <w:pPr>
        <w:pStyle w:val="FirstParagraph"/>
      </w:pPr>
      <w:r>
        <w:t xml:space="preserve">The lettering is characteristic of the seventh century CE. The shape of</w:t>
      </w:r>
      <w:r>
        <w:t xml:space="preserve"> </w:t>
      </w:r>
      <w:r>
        <w:rPr>
          <w:i/>
          <w:iCs/>
        </w:rPr>
        <w:t xml:space="preserve">ccha</w:t>
      </w:r>
      <w:r>
        <w:t xml:space="preserve"> </w:t>
      </w:r>
      <w:r>
        <w:t xml:space="preserve">in the first stanza is extremely eccentric. It seems that the scribe first engraved</w:t>
      </w:r>
      <w:r>
        <w:t xml:space="preserve"> </w:t>
      </w:r>
      <w:r>
        <w:rPr>
          <w:i/>
          <w:iCs/>
        </w:rPr>
        <w:t xml:space="preserve">cha</w:t>
      </w:r>
      <w:r>
        <w:t xml:space="preserve"> </w:t>
      </w:r>
      <w:r>
        <w:t xml:space="preserve">on the line and then added</w:t>
      </w:r>
      <w:r>
        <w:t xml:space="preserve"> </w:t>
      </w:r>
      <w:r>
        <w:rPr>
          <w:i/>
          <w:iCs/>
        </w:rPr>
        <w:t xml:space="preserve">c</w:t>
      </w:r>
      <w:r>
        <w:t xml:space="preserve"> </w:t>
      </w:r>
      <w:r>
        <w:t xml:space="preserve">on top of it as an afterthought and with a shape that is easily confused as a vowel marker</w:t>
      </w:r>
      <w:r>
        <w:t xml:space="preserve"> </w:t>
      </w:r>
      <w:r>
        <w:rPr>
          <w:i/>
          <w:iCs/>
        </w:rPr>
        <w:t xml:space="preserve">i</w:t>
      </w:r>
      <w:r>
        <w:t xml:space="preserv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Indravajrā</w:t>
        </w:r>
      </w:hyperlink>
    </w:p>
    <w:p>
      <w:pPr>
        <w:pStyle w:val="BodyText"/>
      </w:pPr>
      <w:r>
        <w:rPr>
          <w:rStyle w:val="ColorGray"/>
        </w:rPr>
        <w:t xml:space="preserve"> </w:t>
      </w:r>
      <w:r>
        <w:rPr>
          <w:rStyle w:val="ColorGray"/>
        </w:rPr>
        <w:t xml:space="preserve">⟨1⟩</w:t>
      </w:r>
      <w:r>
        <w:rPr>
          <w:rStyle w:val="ColorGray"/>
        </w:rPr>
        <w:t xml:space="preserve"> </w:t>
      </w:r>
      <w:r>
        <w:t xml:space="preserve">(la)gne jhaṣendre nava-ṣa(c-cha)tā</w:t>
      </w:r>
      <w:r>
        <w:rPr>
          <w:rStyle w:val="ColorMagenta"/>
        </w:rPr>
        <w:t xml:space="preserve">¡(p)!</w:t>
      </w:r>
      <w:r>
        <w:rPr>
          <w:rStyle w:val="ColorBlue"/>
        </w:rPr>
        <w:t xml:space="preserve">⟨b⟩</w:t>
      </w:r>
      <w:r>
        <w:t xml:space="preserve">de _</w:t>
      </w:r>
      <w:r>
        <w:br/>
      </w:r>
      <w:r>
        <w:t xml:space="preserve">t</w:t>
      </w:r>
      <w:r>
        <w:rPr>
          <w:rStyle w:val="ColorRed"/>
        </w:rPr>
        <w:t xml:space="preserve">¿ī?</w:t>
      </w:r>
      <w:r>
        <w:rPr>
          <w:rStyle w:val="ColorGreen"/>
        </w:rPr>
        <w:t xml:space="preserve">⟨i⟩</w:t>
      </w:r>
      <w:r>
        <w:t xml:space="preserve">ṣye s</w:t>
      </w:r>
      <w:r>
        <w:rPr>
          <w:rStyle w:val="ColorRed"/>
        </w:rPr>
        <w:t xml:space="preserve">¿ī?</w:t>
      </w:r>
      <w:r>
        <w:rPr>
          <w:rStyle w:val="ColorGreen"/>
        </w:rPr>
        <w:t xml:space="preserve">⟨i⟩</w:t>
      </w:r>
      <w:r>
        <w:t xml:space="preserve">tāṣāḍha-niśā-tr̥tīye _</w:t>
      </w:r>
      <w:r>
        <w:br/>
      </w:r>
      <w:r>
        <w:t xml:space="preserve">(dha)rmme</w:t>
      </w:r>
      <w:r>
        <w:rPr>
          <w:rStyle w:val="ColorMagenta"/>
        </w:rPr>
        <w:t xml:space="preserve">¡n!</w:t>
      </w:r>
      <w:r>
        <w:rPr>
          <w:rStyle w:val="ColorBlue"/>
        </w:rPr>
        <w:t xml:space="preserve">⟨ṇ⟩</w:t>
      </w:r>
      <w:r>
        <w:t xml:space="preserve">a vidyāvaravindu-nāmnā _</w:t>
      </w:r>
      <w:r>
        <w:br/>
      </w:r>
      <w:r>
        <w:t xml:space="preserve">saṁsthāpitan ta</w:t>
      </w:r>
      <w:r>
        <w:rPr>
          <w:rStyle w:val="ColorRed"/>
        </w:rPr>
        <w:t xml:space="preserve">¿t?</w:t>
      </w:r>
      <w:r>
        <w:rPr>
          <w:rStyle w:val="ColorGreen"/>
        </w:rPr>
        <w:t xml:space="preserve">⟨n⟩</w:t>
      </w:r>
      <w:r>
        <w:t xml:space="preserve"> </w:t>
      </w:r>
      <w:r>
        <w:t xml:space="preserve">muninā s(u?)liṅga(m·)</w:t>
      </w:r>
    </w:p>
    <w:p>
      <w:pPr>
        <w:pStyle w:val="BodyText"/>
      </w:pPr>
      <w:r>
        <w:t xml:space="preserve">2.</w:t>
      </w:r>
      <w:r>
        <w:t xml:space="preserve"> </w:t>
      </w:r>
      <w:hyperlink r:id="rId10">
        <w:r>
          <w:rPr>
            <w:rStyle w:val="Hyperlink"/>
          </w:rPr>
          <w:t xml:space="preserve">Anuṣṭubh</w:t>
        </w:r>
      </w:hyperlink>
    </w:p>
    <w:p>
      <w:pPr>
        <w:pStyle w:val="BodyText"/>
      </w:pPr>
      <w:r>
        <w:rPr>
          <w:rStyle w:val="ColorGray"/>
        </w:rPr>
        <w:t xml:space="preserve">⟨2⟩</w:t>
      </w:r>
      <w:r>
        <w:rPr>
          <w:rStyle w:val="ColorGray"/>
        </w:rPr>
        <w:t xml:space="preserve"> </w:t>
      </w:r>
      <w:r>
        <w:t xml:space="preserve">śrīprabhāsomeśvaraḥ śr</w:t>
      </w:r>
      <w:r>
        <w:rPr>
          <w:rStyle w:val="ColorRed"/>
        </w:rPr>
        <w:t xml:space="preserve">¿i?</w:t>
      </w:r>
      <w:r>
        <w:rPr>
          <w:rStyle w:val="ColorGreen"/>
        </w:rPr>
        <w:t xml:space="preserve">⟨ī⟩</w:t>
      </w:r>
      <w:r>
        <w:t xml:space="preserve">mān· _</w:t>
      </w:r>
      <w:r>
        <w:br/>
      </w:r>
      <w:r>
        <w:t xml:space="preserve">liṅgarū</w:t>
      </w:r>
      <w:r>
        <w:rPr>
          <w:rStyle w:val="ColorRed"/>
        </w:rPr>
        <w:t xml:space="preserve">¿pam i?</w:t>
      </w:r>
      <w:r>
        <w:rPr>
          <w:rStyle w:val="ColorGreen"/>
        </w:rPr>
        <w:t xml:space="preserve">⟨pa I⟩</w:t>
      </w:r>
      <w:r>
        <w:t xml:space="preserve">ha saṁjñayā _</w:t>
      </w:r>
      <w:r>
        <w:br/>
      </w:r>
      <w:r>
        <w:t xml:space="preserve">maṅgalaṁ sthāpito bhūmau _</w:t>
      </w:r>
      <w:r>
        <w:br/>
      </w:r>
      <w:r>
        <w:t xml:space="preserve">s</w:t>
      </w:r>
      <w:r>
        <w:rPr>
          <w:rStyle w:val="ColorMagenta"/>
        </w:rPr>
        <w:t xml:space="preserve">¡o!</w:t>
      </w:r>
      <w:r>
        <w:rPr>
          <w:rStyle w:val="ColorBlue"/>
        </w:rPr>
        <w:t xml:space="preserve">⟨au⟩</w:t>
      </w:r>
      <w:r>
        <w:t xml:space="preserve">khyaṁ te vidadhātu saḥ</w:t>
      </w:r>
    </w:p>
    <w:p>
      <w:pPr>
        <w:pStyle w:val="Heading1"/>
      </w:pPr>
      <w:r>
        <w:t xml:space="preserve">Apparatus</w:t>
      </w:r>
    </w:p>
    <w:p>
      <w:pPr>
        <w:pStyle w:val="FirstParagraph"/>
      </w:pPr>
      <w:r>
        <w:rPr>
          <w:rStyle w:val="ColorGray"/>
        </w:rPr>
        <w:t xml:space="preserve">⟨1⟩</w:t>
      </w:r>
      <w:r>
        <w:t xml:space="preserve"> </w:t>
      </w:r>
      <w:r>
        <w:t xml:space="preserve">muninā s(u?)liṅga(m·) ⬦</w:t>
      </w:r>
      <w:r>
        <w:t xml:space="preserve"> </w:t>
      </w:r>
      <w:r>
        <w:rPr>
          <w:rStyle w:val="ColorGreen"/>
          <w:i/>
          <w:iCs/>
        </w:rPr>
        <w:t xml:space="preserve">munināsa liṅgaṁ</w:t>
      </w:r>
      <w:r>
        <w:t xml:space="preserve"> </w:t>
      </w:r>
      <w:r>
        <w:t xml:space="preserve">GC.</w:t>
      </w:r>
    </w:p>
    <w:p>
      <w:pPr>
        <w:pStyle w:val="Heading1"/>
      </w:pPr>
      <w:r>
        <w:t xml:space="preserve">Translation</w:t>
      </w:r>
    </w:p>
    <w:p>
      <w:pPr>
        <w:pStyle w:val="FirstParagraph"/>
      </w:pPr>
      <w:r>
        <w:t xml:space="preserve">1.</w:t>
      </w:r>
    </w:p>
    <w:p>
      <w:pPr>
        <w:pStyle w:val="BodyText"/>
      </w:pPr>
      <w:r>
        <w:t xml:space="preserve">In the ⟨Śaka⟩ year six hundred and nine, when Pisces (or Capricorn?) was in the ascendant, under (lunar mansion) Tiṣya, during the third night of the waxing ⟨fortnight⟩ of Āṣāḍha, this beautiful</w:t>
      </w:r>
      <w:r>
        <w:t xml:space="preserve"> </w:t>
      </w:r>
      <w:r>
        <w:rPr>
          <w:i/>
          <w:iCs/>
        </w:rPr>
        <w:t xml:space="preserve">liṅga</w:t>
      </w:r>
      <w:r>
        <w:t xml:space="preserve"> </w:t>
      </w:r>
      <w:r>
        <w:t xml:space="preserve">has been duly erected by the sage called Vidyāvaravindu.</w:t>
      </w:r>
    </w:p>
    <w:p>
      <w:pPr>
        <w:pStyle w:val="BodyText"/>
      </w:pPr>
      <w:r>
        <w:t xml:space="preserve">2.</w:t>
      </w:r>
    </w:p>
    <w:p>
      <w:pPr>
        <w:pStyle w:val="BodyText"/>
      </w:pPr>
      <w:r>
        <w:t xml:space="preserve">May he, the illustrious Śrī Prabhāsomeśvara by name, standing here on earth in the form of a</w:t>
      </w:r>
      <w:r>
        <w:t xml:space="preserve"> </w:t>
      </w:r>
      <w:r>
        <w:rPr>
          <w:i/>
          <w:iCs/>
        </w:rPr>
        <w:t xml:space="preserve">liṅga</w:t>
      </w:r>
      <w:r>
        <w:t xml:space="preserve">, award you happiness ⟨and⟩ bliss!</w:t>
      </w:r>
    </w:p>
    <w:p>
      <w:pPr>
        <w:pStyle w:val="Heading1"/>
      </w:pPr>
      <w:r>
        <w:t xml:space="preserve">Translation into French by Cœdès 1937–1966</w:t>
      </w:r>
    </w:p>
    <w:p>
      <w:pPr>
        <w:pStyle w:val="FirstParagraph"/>
      </w:pPr>
      <w:r>
        <w:t xml:space="preserve">1.</w:t>
      </w:r>
    </w:p>
    <w:p>
      <w:pPr>
        <w:pStyle w:val="BodyText"/>
      </w:pPr>
      <w:r>
        <w:t xml:space="preserve">Les Poissons étant à l’horizon, en l’année 609, (maison lunaire) Tiṣya, la troisième nuit de la lune croissante d’Āṣāḍha, ce</w:t>
      </w:r>
      <w:r>
        <w:t xml:space="preserve"> </w:t>
      </w:r>
      <w:r>
        <w:rPr>
          <w:i/>
          <w:iCs/>
        </w:rPr>
        <w:t xml:space="preserve">liṅga</w:t>
      </w:r>
      <w:r>
        <w:t xml:space="preserve"> </w:t>
      </w:r>
      <w:r>
        <w:t xml:space="preserve">a été érigé suivant les rites par le muni nommé Vidyāvaravindu.</w:t>
      </w:r>
    </w:p>
    <w:p>
      <w:pPr>
        <w:pStyle w:val="BodyText"/>
      </w:pPr>
      <w:r>
        <w:t xml:space="preserve">2.</w:t>
      </w:r>
    </w:p>
    <w:p>
      <w:pPr>
        <w:pStyle w:val="BodyText"/>
      </w:pPr>
      <w:r>
        <w:t xml:space="preserve">Puisse ce bienheureux Śrīprabhāsomeśvara, image du</w:t>
      </w:r>
      <w:r>
        <w:t xml:space="preserve"> </w:t>
      </w:r>
      <w:r>
        <w:rPr>
          <w:i/>
          <w:iCs/>
        </w:rPr>
        <w:t xml:space="preserve">liṅga</w:t>
      </w:r>
      <w:r>
        <w:t xml:space="preserve">, placé ici sur la terre avec discernement, te donner bonheur et félicité.</w:t>
      </w:r>
    </w:p>
    <w:p>
      <w:pPr>
        <w:pStyle w:val="Heading1"/>
      </w:pPr>
      <w:r>
        <w:t xml:space="preserve">Commentary</w:t>
      </w:r>
    </w:p>
    <w:p>
      <w:pPr>
        <w:pStyle w:val="FirstParagraph"/>
      </w:pPr>
      <w:r>
        <w:t xml:space="preserve">1.</w:t>
      </w:r>
    </w:p>
    <w:p>
      <w:pPr>
        <w:pStyle w:val="BodyText"/>
      </w:pPr>
      <w:r>
        <w:t xml:space="preserve">Cœdès’ assumption of a verb form</w:t>
      </w:r>
      <w:r>
        <w:t xml:space="preserve"> </w:t>
      </w:r>
      <w:r>
        <w:rPr>
          <w:i/>
          <w:iCs/>
        </w:rPr>
        <w:t xml:space="preserve">āsa</w:t>
      </w:r>
      <w:r>
        <w:t xml:space="preserve"> </w:t>
      </w:r>
      <w:r>
        <w:t xml:space="preserve">of</w:t>
      </w:r>
      <w:r>
        <w:t xml:space="preserve"> </w:t>
      </w:r>
      <w:r>
        <w:rPr>
          <w:i/>
          <w:iCs/>
        </w:rPr>
        <w:t xml:space="preserve">munināsa liṅgaṁ</w:t>
      </w:r>
      <w:r>
        <w:t xml:space="preserve"> </w:t>
      </w:r>
      <w:r>
        <w:t xml:space="preserve">seems unsatisfactory. In the context,</w:t>
      </w:r>
      <w:r>
        <w:t xml:space="preserve"> </w:t>
      </w:r>
      <w:r>
        <w:rPr>
          <w:i/>
          <w:iCs/>
        </w:rPr>
        <w:t xml:space="preserve">suliṅgam</w:t>
      </w:r>
      <w:r>
        <w:t xml:space="preserve"> </w:t>
      </w:r>
      <w:r>
        <w:t xml:space="preserve">would be suitable, as shown by parallels in contemporary inscriptions (</w:t>
      </w:r>
      <w:hyperlink r:id="rId11">
        <w:r>
          <w:rPr>
            <w:rStyle w:val="Hyperlink"/>
          </w:rPr>
          <w:t xml:space="preserve">K. 77</w:t>
        </w:r>
      </w:hyperlink>
      <w:r>
        <w:t xml:space="preserve">, st. III and</w:t>
      </w:r>
      <w:r>
        <w:t xml:space="preserve"> </w:t>
      </w:r>
      <w:hyperlink r:id="rId12">
        <w:r>
          <w:rPr>
            <w:rStyle w:val="Hyperlink"/>
          </w:rPr>
          <w:t xml:space="preserve">K. 582</w:t>
        </w:r>
      </w:hyperlink>
      <w:r>
        <w:t xml:space="preserve">, st. I), and we adopt this reading even though it is rather uncertain that a vowel marker</w:t>
      </w:r>
      <w:r>
        <w:t xml:space="preserve"> </w:t>
      </w:r>
      <w:r>
        <w:rPr>
          <w:i/>
          <w:iCs/>
        </w:rPr>
        <w:t xml:space="preserve">u</w:t>
      </w:r>
      <w:r>
        <w:t xml:space="preserve"> </w:t>
      </w:r>
      <w:r>
        <w:t xml:space="preserve">was actually ever engraved below the</w:t>
      </w:r>
      <w:r>
        <w:t xml:space="preserve"> </w:t>
      </w:r>
      <w:r>
        <w:rPr>
          <w:i/>
          <w:iCs/>
        </w:rPr>
        <w:t xml:space="preserve">s</w:t>
      </w:r>
      <w:r>
        <w:t xml:space="preserve">.</w:t>
      </w:r>
    </w:p>
    <w:p>
      <w:pPr>
        <w:pStyle w:val="BodyText"/>
      </w:pPr>
      <w:r>
        <w:t xml:space="preserve">2.</w:t>
      </w:r>
    </w:p>
    <w:p>
      <w:pPr>
        <w:pStyle w:val="BodyText"/>
      </w:pPr>
      <w:r>
        <w:t xml:space="preserve">Unusual metrical irregularities affect the first hemistich and go along with the irregular placement of</w:t>
      </w:r>
      <w:r>
        <w:t xml:space="preserve"> </w:t>
      </w:r>
      <w:r>
        <w:rPr>
          <w:i/>
          <w:iCs/>
        </w:rPr>
        <w:t xml:space="preserve">visarga</w:t>
      </w:r>
      <w:r>
        <w:t xml:space="preserve"> </w:t>
      </w:r>
      <w:r>
        <w:t xml:space="preserve">inside the curl of</w:t>
      </w:r>
      <w:r>
        <w:t xml:space="preserve"> </w:t>
      </w:r>
      <w:r>
        <w:rPr>
          <w:i/>
          <w:iCs/>
        </w:rPr>
        <w:t xml:space="preserve">śri</w:t>
      </w:r>
      <w:r>
        <w:t xml:space="preserve"> </w:t>
      </w:r>
      <w:r>
        <w:t xml:space="preserve">while the expected sandhi would be</w:t>
      </w:r>
      <w:r>
        <w:t xml:space="preserve"> </w:t>
      </w:r>
      <w:r>
        <w:rPr>
          <w:i/>
          <w:iCs/>
        </w:rPr>
        <w:t xml:space="preserve">śśri</w:t>
      </w:r>
      <w:r>
        <w:t xml:space="preserve">. Regarding</w:t>
      </w:r>
      <w:r>
        <w:t xml:space="preserve"> </w:t>
      </w:r>
      <w:r>
        <w:rPr>
          <w:i/>
          <w:iCs/>
        </w:rPr>
        <w:t xml:space="preserve">śrī-prabhāsomeśvaraḥ</w:t>
      </w:r>
      <w:r>
        <w:t xml:space="preserve">, we tentatively assume that the hypermetrical</w:t>
      </w:r>
      <w:r>
        <w:t xml:space="preserve"> </w:t>
      </w:r>
      <w:r>
        <w:rPr>
          <w:i/>
          <w:iCs/>
        </w:rPr>
        <w:t xml:space="preserve">śrī-</w:t>
      </w:r>
      <w:r>
        <w:t xml:space="preserve"> </w:t>
      </w:r>
      <w:r>
        <w:t xml:space="preserve">was not intended to be part of the verse. Another way to resolve the metrical irregularity would be to correct</w:t>
      </w:r>
      <w:r>
        <w:t xml:space="preserve"> </w:t>
      </w:r>
      <w:r>
        <w:rPr>
          <w:i/>
          <w:iCs/>
        </w:rPr>
        <w:t xml:space="preserve">some</w:t>
      </w:r>
      <w:r>
        <w:t xml:space="preserve"> </w:t>
      </w:r>
      <w:r>
        <w:t xml:space="preserve">to</w:t>
      </w:r>
      <w:r>
        <w:t xml:space="preserve"> </w:t>
      </w:r>
      <w:r>
        <w:rPr>
          <w:i/>
          <w:iCs/>
        </w:rPr>
        <w:t xml:space="preserve">se</w:t>
      </w:r>
      <w:r>
        <w:t xml:space="preserve">. The name</w:t>
      </w:r>
      <w:r>
        <w:t xml:space="preserve"> </w:t>
      </w:r>
      <w:r>
        <w:rPr>
          <w:i/>
          <w:iCs/>
        </w:rPr>
        <w:t xml:space="preserve">prabhāseśvara</w:t>
      </w:r>
      <w:r>
        <w:t xml:space="preserve"> </w:t>
      </w:r>
      <w:r>
        <w:t xml:space="preserve">is found in some contemporary Campā inscriptions (</w:t>
      </w:r>
      <w:hyperlink r:id="rId13">
        <w:r>
          <w:rPr>
            <w:rStyle w:val="Hyperlink"/>
          </w:rPr>
          <w:t xml:space="preserve">C. 81</w:t>
        </w:r>
      </w:hyperlink>
      <w:r>
        <w:t xml:space="preserve">, face C, l. 2;</w:t>
      </w:r>
      <w:r>
        <w:t xml:space="preserve"> </w:t>
      </w:r>
      <w:hyperlink r:id="rId14">
        <w:r>
          <w:rPr>
            <w:rStyle w:val="Hyperlink"/>
          </w:rPr>
          <w:t xml:space="preserve">C. 87</w:t>
        </w:r>
      </w:hyperlink>
      <w:r>
        <w:t xml:space="preserve">, st. II; and three times in</w:t>
      </w:r>
      <w:r>
        <w:t xml:space="preserve"> </w:t>
      </w:r>
      <w:hyperlink r:id="rId15">
        <w:r>
          <w:rPr>
            <w:rStyle w:val="Hyperlink"/>
          </w:rPr>
          <w:t xml:space="preserve">C. 96</w:t>
        </w:r>
      </w:hyperlink>
      <w:r>
        <w:t xml:space="preserve">). Regarding</w:t>
      </w:r>
      <w:r>
        <w:t xml:space="preserve"> </w:t>
      </w:r>
      <w:r>
        <w:rPr>
          <w:i/>
          <w:iCs/>
        </w:rPr>
        <w:t xml:space="preserve">liṅgarūpam ipa iha</w:t>
      </w:r>
      <w:r>
        <w:t xml:space="preserve">, we assume that the author meant</w:t>
      </w:r>
      <w:r>
        <w:t xml:space="preserve"> </w:t>
      </w:r>
      <w:r>
        <w:rPr>
          <w:i/>
          <w:iCs/>
        </w:rPr>
        <w:t xml:space="preserve">liṅgarūpa iha saṁjñayā</w:t>
      </w:r>
      <w:r>
        <w:t xml:space="preserve"> </w:t>
      </w:r>
      <w:r>
        <w:t xml:space="preserve">and that proper meter can be obtained by applying secondary sandhi (</w:t>
      </w:r>
      <w:r>
        <w:rPr>
          <w:i/>
          <w:iCs/>
        </w:rPr>
        <w:t xml:space="preserve">liṅgarūpeha saṁjñayā</w:t>
      </w:r>
      <w:r>
        <w:t xml:space="preserve">) instead of the hiatus bridging</w:t>
      </w:r>
      <w:r>
        <w:t xml:space="preserve"> </w:t>
      </w:r>
      <w:r>
        <w:rPr>
          <w:i/>
          <w:iCs/>
        </w:rPr>
        <w:t xml:space="preserve">m</w:t>
      </w:r>
      <w:r>
        <w:t xml:space="preserve"> </w:t>
      </w:r>
      <w:r>
        <w:t xml:space="preserve">that we actually find. Regarding the</w:t>
      </w:r>
      <w:r>
        <w:t xml:space="preserve"> </w:t>
      </w:r>
      <w:r>
        <w:rPr>
          <w:i/>
          <w:iCs/>
        </w:rPr>
        <w:t xml:space="preserve">pāda</w:t>
      </w:r>
      <w:r>
        <w:t xml:space="preserve"> </w:t>
      </w:r>
      <w:r>
        <w:t xml:space="preserve">c, can we read</w:t>
      </w:r>
      <w:r>
        <w:t xml:space="preserve"> </w:t>
      </w:r>
      <w:r>
        <w:rPr>
          <w:i/>
          <w:iCs/>
        </w:rPr>
        <w:t xml:space="preserve">maṅgala</w:t>
      </w:r>
      <w:r>
        <w:t xml:space="preserve"> </w:t>
      </w:r>
      <w:r>
        <w:t xml:space="preserve">without</w:t>
      </w:r>
      <w:r>
        <w:t xml:space="preserve"> </w:t>
      </w:r>
      <w:r>
        <w:rPr>
          <w:i/>
          <w:iCs/>
        </w:rPr>
        <w:t xml:space="preserve">anusvāra</w:t>
      </w:r>
      <w:r>
        <w:t xml:space="preserve"> </w:t>
      </w:r>
      <w:r>
        <w:t xml:space="preserve">and understand</w:t>
      </w:r>
      <w:r>
        <w:t xml:space="preserve"> </w:t>
      </w:r>
      <w:r>
        <w:rPr>
          <w:i/>
          <w:iCs/>
        </w:rPr>
        <w:t xml:space="preserve">maṅgala sthāpito</w:t>
      </w:r>
      <w:r>
        <w:t xml:space="preserve"> </w:t>
      </w:r>
      <w:r>
        <w:t xml:space="preserve">as</w:t>
      </w:r>
      <w:r>
        <w:t xml:space="preserve"> </w:t>
      </w:r>
      <w:r>
        <w:rPr>
          <w:i/>
          <w:iCs/>
        </w:rPr>
        <w:t xml:space="preserve">maṅgalaḥ sthāpito</w:t>
      </w:r>
      <w:r>
        <w:t xml:space="preserve">?</w:t>
      </w:r>
    </w:p>
    <w:p>
      <w:pPr>
        <w:pStyle w:val="Heading1"/>
      </w:pPr>
      <w:r>
        <w:t xml:space="preserve">Bibliography</w:t>
      </w:r>
    </w:p>
    <w:p>
      <w:pPr>
        <w:pStyle w:val="FirstParagraph"/>
      </w:pPr>
      <w:r>
        <w:t xml:space="preserve">First edited by George Cœdès (1937–1966, vol. 5, p. 55) with a French translation; re-edited and translated here by Kunthea Chhom &amp; Arlo Griffiths from estampage EFEO n. 719.</w:t>
      </w:r>
    </w:p>
    <w:p>
      <w:pPr>
        <w:pStyle w:val="Heading2"/>
      </w:pPr>
      <w:r>
        <w:t xml:space="preserve">Primary</w:t>
      </w:r>
    </w:p>
    <w:p>
      <w:pPr>
        <w:pStyle w:val="FirstParagraph"/>
      </w:pPr>
      <w:r>
        <w:rPr>
          <w:b/>
          <w:bCs/>
        </w:rPr>
        <w:t xml:space="preserve">[GC]</w:t>
      </w:r>
      <w:r>
        <w:t xml:space="preserve"> </w:t>
      </w:r>
      <w:r>
        <w:t xml:space="preserve">Cœdès, George. 1937–1966.</w:t>
      </w:r>
      <w:r>
        <w:t xml:space="preserve"> </w:t>
      </w:r>
      <w:r>
        <w:rPr>
          <w:i/>
          <w:iCs/>
        </w:rPr>
        <w:t xml:space="preserve">Inscriptions du Cambodge I-VIII</w:t>
      </w:r>
      <w:r>
        <w:t xml:space="preserve">. Collection de textes et documents sur l’Indochine 3. Hanoi; Paris: Imprimerie d’Extrême-Orient. Volume 5, page 55.</w:t>
      </w:r>
    </w:p>
    <w:p>
      <w:pPr>
        <w:pStyle w:val="Heading2"/>
      </w:pPr>
      <w:r>
        <w:t xml:space="preserve">Secondary</w:t>
      </w:r>
    </w:p>
    <w:p>
      <w:pPr>
        <w:pStyle w:val="FirstParagraph"/>
      </w:pPr>
      <w:r>
        <w:t xml:space="preserve">Billard, Roger &amp; J. C. Eade. 2006. “Dates des inscriptions du pays khmer.” BEFEO 93, pp. 395–428. DOI:</w:t>
      </w:r>
      <w:r>
        <w:t xml:space="preserve"> </w:t>
      </w:r>
      <w:hyperlink r:id="rId16">
        <w:r>
          <w:rPr>
            <w:rStyle w:val="Hyperlink"/>
          </w:rPr>
          <w:t xml:space="preserve">10.3406/befeo.2006.6044</w:t>
        </w:r>
      </w:hyperlink>
      <w:r>
        <w:t xml:space="preserve">.</w:t>
      </w:r>
      <w:r>
        <w:t xml:space="preserve"> </w:t>
      </w:r>
      <w:hyperlink r:id="rId17">
        <w:r>
          <w:rPr>
            <w:rStyle w:val="Hyperlink"/>
          </w:rPr>
          <w:t xml:space="preserve">[URL]</w:t>
        </w:r>
      </w:hyperlink>
      <w:r>
        <w:t xml:space="preserve">. Page 402.</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45" TargetMode="External" /><Relationship Type="http://schemas.openxmlformats.org/officeDocument/2006/relationships/hyperlink" Id="rId13" Target="https://dharmalekha.info/texts/INSCIC00081" TargetMode="External" /><Relationship Type="http://schemas.openxmlformats.org/officeDocument/2006/relationships/hyperlink" Id="rId14" Target="https://dharmalekha.info/texts/INSCIC00087" TargetMode="External" /><Relationship Type="http://schemas.openxmlformats.org/officeDocument/2006/relationships/hyperlink" Id="rId15" Target="https://dharmalekha.info/texts/INSCIC00096" TargetMode="External" /><Relationship Type="http://schemas.openxmlformats.org/officeDocument/2006/relationships/hyperlink" Id="rId11" Target="https://dharmalekha.info/texts/INSCIK00077" TargetMode="External" /><Relationship Type="http://schemas.openxmlformats.org/officeDocument/2006/relationships/hyperlink" Id="rId12" Target="https://dharmalekha.info/texts/INSCIK00582" TargetMode="External" /><Relationship Type="http://schemas.openxmlformats.org/officeDocument/2006/relationships/hyperlink" Id="rId16" Target="https://doi.org/10.3406/befeo.2006.6044" TargetMode="External" /><Relationship Type="http://schemas.openxmlformats.org/officeDocument/2006/relationships/hyperlink" Id="rId17" Target="https://www.persee.fr/doc/befeo_0336-1519_2006_num_93_1_6044"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45" TargetMode="External" /><Relationship Type="http://schemas.openxmlformats.org/officeDocument/2006/relationships/hyperlink" Id="rId13" Target="https://dharmalekha.info/texts/INSCIC00081" TargetMode="External" /><Relationship Type="http://schemas.openxmlformats.org/officeDocument/2006/relationships/hyperlink" Id="rId14" Target="https://dharmalekha.info/texts/INSCIC00087" TargetMode="External" /><Relationship Type="http://schemas.openxmlformats.org/officeDocument/2006/relationships/hyperlink" Id="rId15" Target="https://dharmalekha.info/texts/INSCIC00096" TargetMode="External" /><Relationship Type="http://schemas.openxmlformats.org/officeDocument/2006/relationships/hyperlink" Id="rId11" Target="https://dharmalekha.info/texts/INSCIK00077" TargetMode="External" /><Relationship Type="http://schemas.openxmlformats.org/officeDocument/2006/relationships/hyperlink" Id="rId12" Target="https://dharmalekha.info/texts/INSCIK00582" TargetMode="External" /><Relationship Type="http://schemas.openxmlformats.org/officeDocument/2006/relationships/hyperlink" Id="rId16" Target="https://doi.org/10.3406/befeo.2006.6044" TargetMode="External" /><Relationship Type="http://schemas.openxmlformats.org/officeDocument/2006/relationships/hyperlink" Id="rId17" Target="https://www.persee.fr/doc/befeo_0336-1519_2006_num_93_1_6044"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652. Column of Romduol, 609 Śaka</dc:title>
  <dc:creator>Kunthea Chhom and Arlo Griffiths</dc:creator>
  <cp:keywords/>
  <dcterms:created xsi:type="dcterms:W3CDTF">2026-10-26T13:59:00Z</dcterms:created>
  <dcterms:modified xsi:type="dcterms:W3CDTF">2026-10-26T13:59:00Z</dcterms:modified>
</cp:coreProperties>
</file>

<file path=docProps/custom.xml><?xml version="1.0" encoding="utf-8"?>
<Properties xmlns="http://schemas.openxmlformats.org/officeDocument/2006/custom-properties" xmlns:vt="http://schemas.openxmlformats.org/officeDocument/2006/docPropsVTypes"/>
</file>