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359. Stone slab from Veal Kantel, 7th century CE</w:t>
      </w:r>
    </w:p>
    <w:p>
      <w:pPr>
        <w:pStyle w:val="Author"/>
      </w:pPr>
      <w:r>
        <w:t xml:space="preserve">Kunthea Chhom, Gerdi Gerschheimer and Dominic Goodall</w:t>
      </w:r>
    </w:p>
    <w:p>
      <w:pPr>
        <w:pStyle w:val="FirstParagraph"/>
      </w:pPr>
      <w:r>
        <w:t xml:space="preserve">Authors of digital edition: Kunthea Chhom, Gerdi Gerschheimer, Dominic Goodall</w:t>
      </w:r>
    </w:p>
    <w:p>
      <w:pPr>
        <w:pStyle w:val="BodyText"/>
      </w:pPr>
      <w:r>
        <w:t xml:space="preserve">Identifier: DHARMA_INSCIK00359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texts/xml/DHARMA_INSCIK00359.xml</w:t>
      </w:r>
    </w:p>
    <w:p>
      <w:pPr>
        <w:pStyle w:val="BodyText"/>
      </w:pPr>
      <w:r>
        <w:t xml:space="preserve">Language: Sanskrit [Khmer]</w:t>
      </w:r>
    </w:p>
    <w:p>
      <w:pPr>
        <w:pStyle w:val="BodyText"/>
      </w:pPr>
      <w:r>
        <w:t xml:space="preserve">Commit: 2026-11-05 14:19 (45e1b71), last modified 2026-09-17 01:54 (2c24a58)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 lettering is characteristic of the seventh century CE.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t xml:space="preserve">1.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śrīvīravarmma-duhitā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svasā śrībhavavarmmaṇaḥ</w:t>
      </w:r>
      <w:r>
        <w:br/>
      </w:r>
      <w:r>
        <w:rPr>
          <w:rStyle w:val="ColorGray"/>
        </w:rPr>
        <w:t xml:space="preserve">⟨Column c⟩</w:t>
      </w:r>
      <w:r>
        <w:rPr>
          <w:rStyle w:val="ColorGray"/>
        </w:rPr>
        <w:t xml:space="preserve"> </w:t>
      </w:r>
      <w:r>
        <w:t xml:space="preserve">pativratā dharmma-ratā</w:t>
      </w:r>
      <w:r>
        <w:br/>
      </w:r>
      <w:r>
        <w:rPr>
          <w:rStyle w:val="ColorGray"/>
        </w:rPr>
        <w:t xml:space="preserve">⟨Column d⟩</w:t>
      </w:r>
      <w:r>
        <w:rPr>
          <w:rStyle w:val="ColorGray"/>
        </w:rPr>
        <w:t xml:space="preserve"> </w:t>
      </w:r>
      <w:r>
        <w:t xml:space="preserve">dvitīyārundhatīva yā ╫</w:t>
      </w:r>
    </w:p>
    <w:p>
      <w:pPr>
        <w:pStyle w:val="BodyText"/>
      </w:pPr>
      <w:r>
        <w:t xml:space="preserve">2.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hiraṇyavarmma-jananīṁ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yas tām patnīm upābahat·</w:t>
      </w:r>
      <w:r>
        <w:br/>
      </w:r>
      <w:r>
        <w:rPr>
          <w:rStyle w:val="ColorGray"/>
        </w:rPr>
        <w:t xml:space="preserve">⟨Column c⟩</w:t>
      </w:r>
      <w:r>
        <w:rPr>
          <w:rStyle w:val="ColorGray"/>
        </w:rPr>
        <w:t xml:space="preserve"> </w:t>
      </w:r>
      <w:r>
        <w:t xml:space="preserve">dvijendur ākr̥tisvāmī</w:t>
      </w:r>
      <w:r>
        <w:br/>
      </w:r>
      <w:r>
        <w:rPr>
          <w:rStyle w:val="ColorGray"/>
        </w:rPr>
        <w:t xml:space="preserve">⟨Column d⟩</w:t>
      </w:r>
      <w:r>
        <w:rPr>
          <w:rStyle w:val="ColorGray"/>
        </w:rPr>
        <w:t xml:space="preserve"> </w:t>
      </w:r>
      <w:r>
        <w:t xml:space="preserve">sāmaveda-vid-agraṇīḥ ╫</w:t>
      </w:r>
    </w:p>
    <w:p>
      <w:pPr>
        <w:pStyle w:val="BodyText"/>
      </w:pPr>
      <w:r>
        <w:t xml:space="preserve">3.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śrīsomaśarmmārka-yutaṁ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sa śrītribhuvaneśvaram·</w:t>
      </w:r>
      <w:r>
        <w:br/>
      </w:r>
      <w:r>
        <w:rPr>
          <w:rStyle w:val="ColorGray"/>
        </w:rPr>
        <w:t xml:space="preserve">⟨Column c⟩</w:t>
      </w:r>
      <w:r>
        <w:rPr>
          <w:rStyle w:val="ColorGray"/>
        </w:rPr>
        <w:t xml:space="preserve"> </w:t>
      </w:r>
      <w:r>
        <w:t xml:space="preserve">Atiṣṭhipan mahāpūja</w:t>
      </w:r>
      <w:r>
        <w:rPr>
          <w:rStyle w:val="ColorGray"/>
        </w:rPr>
        <w:t xml:space="preserve">⟨Column d⟩</w:t>
      </w:r>
      <w:r>
        <w:t xml:space="preserve">m</w:t>
      </w:r>
      <w:r>
        <w:br/>
      </w:r>
      <w:r>
        <w:t xml:space="preserve">atipuṣkala-dakṣiṇaṁ╫</w:t>
      </w:r>
    </w:p>
    <w:p>
      <w:pPr>
        <w:pStyle w:val="BodyText"/>
      </w:pPr>
      <w:r>
        <w:t xml:space="preserve">4.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rāmāya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a-purāṇābhyā</w:t>
      </w:r>
      <w:r>
        <w:rPr>
          <w:rStyle w:val="ColorGray"/>
        </w:rPr>
        <w:t xml:space="preserve">⟨Column b⟩</w:t>
      </w:r>
      <w:r>
        <w:t xml:space="preserve">m</w:t>
      </w:r>
      <w:r>
        <w:br/>
      </w:r>
      <w:r>
        <w:t xml:space="preserve">aśeṣaṁ bhāratan dadat·</w:t>
      </w:r>
      <w:r>
        <w:br/>
      </w:r>
      <w:r>
        <w:rPr>
          <w:rStyle w:val="ColorGray"/>
        </w:rPr>
        <w:t xml:space="preserve">⟨Column c⟩</w:t>
      </w:r>
      <w:r>
        <w:rPr>
          <w:rStyle w:val="ColorGray"/>
        </w:rPr>
        <w:t xml:space="preserve"> </w:t>
      </w:r>
      <w:r>
        <w:t xml:space="preserve">Akr̥tānvaham acchedyāṁ</w:t>
      </w:r>
      <w:r>
        <w:br/>
      </w:r>
      <w:r>
        <w:rPr>
          <w:rStyle w:val="ColorGray"/>
        </w:rPr>
        <w:t xml:space="preserve">⟨Column d⟩</w:t>
      </w:r>
      <w:r>
        <w:rPr>
          <w:rStyle w:val="ColorGray"/>
        </w:rPr>
        <w:t xml:space="preserve"> </w:t>
      </w:r>
      <w:r>
        <w:t xml:space="preserve">sa ca tad-vācanāsthitim·</w:t>
      </w:r>
    </w:p>
    <w:p>
      <w:pPr>
        <w:pStyle w:val="BodyText"/>
      </w:pPr>
      <w:r>
        <w:t xml:space="preserve">5.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yāvat tribhuvaneśasya</w:t>
      </w:r>
      <w:r>
        <w:br/>
      </w:r>
      <w:r>
        <w:rPr>
          <w:rStyle w:val="ColorGray"/>
        </w:rPr>
        <w:t xml:space="preserve">⟨Column b⟩</w:t>
      </w:r>
      <w:r>
        <w:rPr>
          <w:rStyle w:val="ColorGray"/>
        </w:rPr>
        <w:t xml:space="preserve"> </w:t>
      </w:r>
      <w:r>
        <w:t xml:space="preserve">vibhūtir avatiṣṭhate</w:t>
      </w:r>
      <w:r>
        <w:br/>
      </w:r>
      <w:r>
        <w:rPr>
          <w:rStyle w:val="ColorGray"/>
        </w:rPr>
        <w:t xml:space="preserve">⟨Column c⟩</w:t>
      </w:r>
      <w:r>
        <w:rPr>
          <w:rStyle w:val="ColorGray"/>
        </w:rPr>
        <w:t xml:space="preserve"> </w:t>
      </w:r>
      <w:r>
        <w:t xml:space="preserve">yo ya E[⏓⏑––⏓]</w:t>
      </w:r>
      <w:r>
        <w:br/>
      </w:r>
      <w:r>
        <w:rPr>
          <w:rStyle w:val="ColorGray"/>
        </w:rPr>
        <w:t xml:space="preserve">⟨Column d⟩</w:t>
      </w:r>
      <w:r>
        <w:rPr>
          <w:rStyle w:val="ColorGray"/>
        </w:rPr>
        <w:t xml:space="preserve"> </w:t>
      </w:r>
      <w:r>
        <w:t xml:space="preserve">[⏓⏓⏓⏓⏑–⏑⏓]</w:t>
      </w:r>
    </w:p>
    <w:p>
      <w:pPr>
        <w:pStyle w:val="BodyText"/>
      </w:pPr>
      <w:r>
        <w:t xml:space="preserve">6.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dharmmāṅśas tasya tasya syā</w:t>
      </w:r>
      <w:r>
        <w:rPr>
          <w:rStyle w:val="ColorGray"/>
        </w:rPr>
        <w:t xml:space="preserve">⟨Column b⟩</w:t>
      </w:r>
      <w:r>
        <w:t xml:space="preserve">n</w:t>
      </w:r>
      <w:r>
        <w:br/>
      </w:r>
      <w:r>
        <w:t xml:space="preserve">mahā-sukr̥ta-kāriṇaḥ</w:t>
      </w:r>
      <w:r>
        <w:br/>
      </w:r>
      <w:r>
        <w:rPr>
          <w:rStyle w:val="ColorGray"/>
        </w:rPr>
        <w:t xml:space="preserve">⟨Column c⟩</w:t>
      </w:r>
      <w:r>
        <w:rPr>
          <w:rStyle w:val="ColorGray"/>
        </w:rPr>
        <w:t xml:space="preserve"> </w:t>
      </w:r>
      <w:r>
        <w:t xml:space="preserve">[⏓⏓⏓⏓⏑––⏓]</w:t>
      </w:r>
      <w:r>
        <w:br/>
      </w:r>
      <w:r>
        <w:rPr>
          <w:rStyle w:val="ColorGray"/>
        </w:rPr>
        <w:t xml:space="preserve">⟨Column d⟩</w:t>
      </w:r>
      <w:r>
        <w:rPr>
          <w:rStyle w:val="ColorGray"/>
        </w:rPr>
        <w:t xml:space="preserve"> </w:t>
      </w:r>
      <w:r>
        <w:t xml:space="preserve">[⏓⏓⏓⏓⏑–⏑⏓]</w:t>
      </w:r>
    </w:p>
    <w:p>
      <w:pPr>
        <w:pStyle w:val="BodyText"/>
      </w:pPr>
      <w:r>
        <w:t xml:space="preserve">7.</w:t>
      </w:r>
      <w:r>
        <w:t xml:space="preserve"> </w:t>
      </w:r>
      <w:hyperlink r:id="rId9">
        <w:r>
          <w:rPr>
            <w:rStyle w:val="Hyperlink"/>
          </w:rPr>
          <w:t xml:space="preserve">Anuṣṭubh</w:t>
        </w:r>
      </w:hyperlink>
    </w:p>
    <w:p>
      <w:pPr>
        <w:pStyle w:val="BodyText"/>
      </w:pP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⟨Column a⟩</w:t>
      </w:r>
      <w:r>
        <w:rPr>
          <w:rStyle w:val="ColorGray"/>
        </w:rPr>
        <w:t xml:space="preserve"> </w:t>
      </w:r>
      <w:r>
        <w:t xml:space="preserve">Itas tu harttā durbuhd(dh)i</w:t>
      </w:r>
      <w:r>
        <w:rPr>
          <w:rStyle w:val="ColorGray"/>
        </w:rPr>
        <w:t xml:space="preserve">⟨Column b⟩</w:t>
      </w:r>
      <w:r>
        <w:t xml:space="preserve">r</w:t>
      </w:r>
      <w:r>
        <w:br/>
      </w:r>
      <w:r>
        <w:t xml:space="preserve">yyā Ekam api pusta(kam)·</w:t>
      </w:r>
      <w:r>
        <w:br/>
      </w:r>
      <w:r>
        <w:rPr>
          <w:rStyle w:val="ColorGray"/>
        </w:rPr>
        <w:t xml:space="preserve">⟨Column c⟩</w:t>
      </w:r>
      <w:r>
        <w:rPr>
          <w:rStyle w:val="ColorGray"/>
        </w:rPr>
        <w:t xml:space="preserve"> </w:t>
      </w:r>
      <w:r>
        <w:t xml:space="preserve">[⏓⏓⏓⏓⏑––⏓]</w:t>
      </w:r>
      <w:r>
        <w:br/>
      </w:r>
      <w:r>
        <w:rPr>
          <w:rStyle w:val="ColorGray"/>
        </w:rPr>
        <w:t xml:space="preserve">⟨Column d⟩</w:t>
      </w:r>
      <w:r>
        <w:rPr>
          <w:rStyle w:val="ColorGray"/>
        </w:rPr>
        <w:t xml:space="preserve"> </w:t>
      </w:r>
      <w:r>
        <w:t xml:space="preserve">[⏓⏓⏓⏓⏑–⏑⏓]</w:t>
      </w:r>
    </w:p>
    <w:p>
      <w:pPr>
        <w:pStyle w:val="Heading1"/>
      </w:pPr>
      <w:r>
        <w:t xml:space="preserve">Apparatus</w:t>
      </w:r>
    </w:p>
    <w:p>
      <w:pPr>
        <w:pStyle w:val="FirstParagraph"/>
      </w:pPr>
      <w:r>
        <w:rPr>
          <w:rStyle w:val="ColorGray"/>
        </w:rPr>
        <w:t xml:space="preserve">⟨7⟩</w:t>
      </w:r>
      <w:r>
        <w:t xml:space="preserve"> </w:t>
      </w:r>
      <w:r>
        <w:t xml:space="preserve">yyā ⬦</w:t>
      </w:r>
      <w:r>
        <w:t xml:space="preserve"> </w:t>
      </w:r>
      <w:r>
        <w:rPr>
          <w:rStyle w:val="ColorGreen"/>
          <w:i/>
          <w:iCs/>
        </w:rPr>
        <w:t xml:space="preserve">yya</w:t>
      </w:r>
      <w:r>
        <w:t xml:space="preserve"> </w:t>
      </w:r>
      <w:r>
        <w:t xml:space="preserve">AB.</w:t>
      </w:r>
    </w:p>
    <w:p>
      <w:pPr>
        <w:pStyle w:val="Heading1"/>
      </w:pPr>
      <w:r>
        <w:t xml:space="preserve">Translation into French by Barth 1885</w:t>
      </w:r>
    </w:p>
    <w:p>
      <w:pPr>
        <w:pStyle w:val="FirstParagraph"/>
      </w:pPr>
      <w:r>
        <w:t xml:space="preserve">1.</w:t>
      </w:r>
    </w:p>
    <w:p>
      <w:pPr>
        <w:pStyle w:val="BodyText"/>
      </w:pPr>
      <w:r>
        <w:t xml:space="preserve">⟨Il est une princesse⟩ fille de śrī-Vīravarman, sœur de śrī-Bhavavarman, qui, dévouée à son époux, ne prenant plaisir qu’au devoir, ⟨fut⟩ comme une seconde Arundhatī.</w:t>
      </w:r>
    </w:p>
    <w:p>
      <w:pPr>
        <w:pStyle w:val="BodyText"/>
      </w:pPr>
      <w:r>
        <w:t xml:space="preserve">2.</w:t>
      </w:r>
    </w:p>
    <w:p>
      <w:pPr>
        <w:pStyle w:val="BodyText"/>
      </w:pPr>
      <w:r>
        <w:t xml:space="preserve">Celui qui prit pour épouse cette mère de Hiraṇyavarman, une lune entre les brāhmanes, dont le seul aspect annonçait la noblesse et qui marchait en tête des connaisseurs du Sāmaveda.</w:t>
      </w:r>
    </w:p>
    <w:p>
      <w:pPr>
        <w:pStyle w:val="BodyText"/>
      </w:pPr>
      <w:r>
        <w:t xml:space="preserve">3.</w:t>
      </w:r>
    </w:p>
    <w:p>
      <w:pPr>
        <w:pStyle w:val="BodyText"/>
      </w:pPr>
      <w:r>
        <w:t xml:space="preserve">Śrī-Somaśarman érigea, lui, ⟨ce⟩ śrī-Tribhuvaneśvara accompagné ⟨d’une image⟩ du Soleil, avec de grands honneurs et de splendides offrandes.</w:t>
      </w:r>
    </w:p>
    <w:p>
      <w:pPr>
        <w:pStyle w:val="BodyText"/>
      </w:pPr>
      <w:r>
        <w:t xml:space="preserve">4.</w:t>
      </w:r>
    </w:p>
    <w:p>
      <w:pPr>
        <w:pStyle w:val="BodyText"/>
      </w:pPr>
      <w:r>
        <w:t xml:space="preserve">Avec le Rāmāyaṇa et le Purāṇa, il donna le Bhārata complet, et en institua le récitation journalière, sans interruption.</w:t>
      </w:r>
    </w:p>
    <w:p>
      <w:pPr>
        <w:pStyle w:val="BodyText"/>
      </w:pPr>
      <w:r>
        <w:t xml:space="preserve">5.</w:t>
      </w:r>
    </w:p>
    <w:p>
      <w:pPr>
        <w:pStyle w:val="BodyText"/>
      </w:pPr>
      <w:r>
        <w:t xml:space="preserve">Tant que subsistera la majesté de Tribhuvaneśa, quiconque […] ⟨participera à cette lecture,⟩</w:t>
      </w:r>
    </w:p>
    <w:p>
      <w:pPr>
        <w:pStyle w:val="BodyText"/>
      </w:pPr>
      <w:r>
        <w:t xml:space="preserve">6.</w:t>
      </w:r>
    </w:p>
    <w:p>
      <w:pPr>
        <w:pStyle w:val="BodyText"/>
      </w:pPr>
      <w:r>
        <w:t xml:space="preserve">Qu’une part ⟨du fruit⟩ de cette œuvre pieuse revienne chaque fois à l’auteur de cet acte excellent ...</w:t>
      </w:r>
    </w:p>
    <w:p>
      <w:pPr>
        <w:pStyle w:val="BodyText"/>
      </w:pPr>
      <w:r>
        <w:t xml:space="preserve">7.</w:t>
      </w:r>
    </w:p>
    <w:p>
      <w:pPr>
        <w:pStyle w:val="BodyText"/>
      </w:pPr>
      <w:r>
        <w:t xml:space="preserve">Mais l’insensé qui enlèvera d’ici ne fût-ce qu’un seul volume, […].</w:t>
      </w:r>
    </w:p>
    <w:p>
      <w:pPr>
        <w:pStyle w:val="Heading1"/>
      </w:pPr>
      <w:r>
        <w:t xml:space="preserve">Translation by Goodall 2017</w:t>
      </w:r>
    </w:p>
    <w:p>
      <w:pPr>
        <w:pStyle w:val="FirstParagraph"/>
      </w:pPr>
      <w:r>
        <w:t xml:space="preserve">1–2.</w:t>
      </w:r>
    </w:p>
    <w:p>
      <w:pPr>
        <w:pStyle w:val="BodyText"/>
      </w:pPr>
      <w:r>
        <w:t xml:space="preserve">There was a daughter of Vīravarman, sister of Bhavavarman, devoted to her husband, devoted to duty, like a second Arundhatī, whom the moon among brahmins, Ākr̥tisvāmin, formost among those knowing the Sāmaveda, married, the mother of Hiraṇyavarman.</w:t>
      </w:r>
    </w:p>
    <w:p>
      <w:pPr>
        <w:pStyle w:val="BodyText"/>
      </w:pPr>
      <w:r>
        <w:t xml:space="preserve">3.</w:t>
      </w:r>
    </w:p>
    <w:p>
      <w:pPr>
        <w:pStyle w:val="BodyText"/>
      </w:pPr>
      <w:r>
        <w:t xml:space="preserve">That ⟨Ākr̥tisvāmin⟩ installed ⟨here the liṅga called⟩ Śrī-Tribhuvaneśvara, together with a statue (</w:t>
      </w:r>
      <w:r>
        <w:rPr>
          <w:i/>
          <w:iCs/>
        </w:rPr>
        <w:t xml:space="preserve">arka</w:t>
      </w:r>
      <w:r>
        <w:t xml:space="preserve">) of Śrī-Somaśarman, along with elaborate worship and extremely generous benefactions.</w:t>
      </w:r>
    </w:p>
    <w:p>
      <w:pPr>
        <w:pStyle w:val="BodyText"/>
      </w:pPr>
      <w:r>
        <w:t xml:space="preserve">4.</w:t>
      </w:r>
    </w:p>
    <w:p>
      <w:pPr>
        <w:pStyle w:val="BodyText"/>
      </w:pPr>
      <w:r>
        <w:t xml:space="preserve">He gave the entire Mahābhārata, along with the Rāmāyaṇa and the Purāṇa, and he instigated a daily, uninterrupted practice of their recitation.</w:t>
      </w:r>
    </w:p>
    <w:p>
      <w:pPr>
        <w:pStyle w:val="BodyText"/>
      </w:pPr>
      <w:r>
        <w:t xml:space="preserve">5.</w:t>
      </w:r>
    </w:p>
    <w:p>
      <w:pPr>
        <w:pStyle w:val="BodyText"/>
      </w:pPr>
      <w:r>
        <w:t xml:space="preserve">For as long as the wealth of Tribhuvaneśvara remains, whoever […].</w:t>
      </w:r>
    </w:p>
    <w:p>
      <w:pPr>
        <w:pStyle w:val="BodyText"/>
      </w:pPr>
      <w:r>
        <w:t xml:space="preserve">6.</w:t>
      </w:r>
    </w:p>
    <w:p>
      <w:pPr>
        <w:pStyle w:val="BodyText"/>
      </w:pPr>
      <w:r>
        <w:t xml:space="preserve">[…] just a part of the merit of such a person of great good deeds.</w:t>
      </w:r>
    </w:p>
    <w:p>
      <w:pPr>
        <w:pStyle w:val="BodyText"/>
      </w:pPr>
      <w:r>
        <w:t xml:space="preserve">7.</w:t>
      </w:r>
    </w:p>
    <w:p>
      <w:pPr>
        <w:pStyle w:val="BodyText"/>
      </w:pPr>
      <w:r>
        <w:t xml:space="preserve">Whichever ill-thinking person should take even one book from here ⟨will⟩ […].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August Barth (1885, pp. 28–31) with a French translation; reedited by Dominic Goodall (2017, pp. 132–134) with an English translation.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[AB]</w:t>
      </w:r>
      <w:r>
        <w:t xml:space="preserve"> </w:t>
      </w:r>
      <w:r>
        <w:t xml:space="preserve">Barth, Auguste. 1885.</w:t>
      </w:r>
      <w:r>
        <w:t xml:space="preserve"> </w:t>
      </w:r>
      <w:r>
        <w:rPr>
          <w:i/>
          <w:iCs/>
        </w:rPr>
        <w:t xml:space="preserve">Inscriptions sanscrites du Cambodge</w:t>
      </w:r>
      <w:r>
        <w:t xml:space="preserve">. Notices et extraits des manuscrits de la Bibliothèque nationale et autres bibliothèques 27, 1. Paris: Imprimerie nationale.</w:t>
      </w:r>
      <w:r>
        <w:t xml:space="preserve"> </w:t>
      </w:r>
      <w:hyperlink r:id="rId10">
        <w:r>
          <w:rPr>
            <w:rStyle w:val="Hyperlink"/>
          </w:rPr>
          <w:t xml:space="preserve">[URL]</w:t>
        </w:r>
      </w:hyperlink>
      <w:r>
        <w:t xml:space="preserve">. Pages 28–31.</w:t>
      </w:r>
    </w:p>
    <w:p>
      <w:pPr>
        <w:pStyle w:val="BodyText"/>
      </w:pPr>
      <w:r>
        <w:rPr>
          <w:b/>
          <w:bCs/>
        </w:rPr>
        <w:t xml:space="preserve">[DG]</w:t>
      </w:r>
      <w:r>
        <w:t xml:space="preserve"> </w:t>
      </w:r>
      <w:r>
        <w:t xml:space="preserve">Goodall, Dominic. 2017. “What information can be Gleaned from Cambodian Inscriptions about Practices Relating to the Transmission of Sanskrit Literature?” In:</w:t>
      </w:r>
      <w:r>
        <w:t xml:space="preserve"> </w:t>
      </w:r>
      <w:r>
        <w:rPr>
          <w:i/>
          <w:iCs/>
        </w:rPr>
        <w:t xml:space="preserve">Indic Manuscript Cultures through the Ages</w:t>
      </w:r>
      <w:r>
        <w:t xml:space="preserve">. Edited by Vincenzo Vergiani, Daniele Cuneo &amp; Camillo Alessio Formigatti. Studies in Manuscript Cultures 14. Berlin: De Gruyter, pp. 131–160.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 Pages 132–134.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archive.org/details/inscriptionssans00bartuoft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1" Target="https://www.degruyter.com/document/doi/10.1515/9783110543100-005/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archive.org/details/inscriptionssans00bartuoft" TargetMode="External" /><Relationship Type="http://schemas.openxmlformats.org/officeDocument/2006/relationships/hyperlink" Id="rId9" Target="https://dharmalekha.info/prosody#prosody-169" TargetMode="External" /><Relationship Type="http://schemas.openxmlformats.org/officeDocument/2006/relationships/hyperlink" Id="rId11" Target="https://www.degruyter.com/document/doi/10.1515/9783110543100-005/html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359. Stone slab from Veal Kantel, 7th century CE</dc:title>
  <dc:creator>Kunthea Chhom, Gerdi Gerschheimer and Dominic Goodall</dc:creator>
  <cp:keywords/>
  <dcterms:created xsi:type="dcterms:W3CDTF">2026-11-07T16:10:23Z</dcterms:created>
  <dcterms:modified xsi:type="dcterms:W3CDTF">2026-11-07T16:10:23Z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