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K.</w:t>
      </w:r>
      <w:r>
        <w:t xml:space="preserve"> </w:t>
      </w:r>
      <w:r>
        <w:t xml:space="preserve">328.</w:t>
      </w:r>
      <w:r>
        <w:t xml:space="preserve"> </w:t>
      </w:r>
      <w:r>
        <w:t xml:space="preserve">East</w:t>
      </w:r>
      <w:r>
        <w:t xml:space="preserve"> </w:t>
      </w:r>
      <w:r>
        <w:t xml:space="preserve">doorjambs</w:t>
      </w:r>
      <w:r>
        <w:t xml:space="preserve"> </w:t>
      </w:r>
      <w:r>
        <w:t xml:space="preserve">of</w:t>
      </w:r>
      <w:r>
        <w:t xml:space="preserve"> </w:t>
      </w:r>
      <w:r>
        <w:t xml:space="preserve">South</w:t>
      </w:r>
      <w:r>
        <w:t xml:space="preserve"> </w:t>
      </w:r>
      <w:r>
        <w:t xml:space="preserve">false</w:t>
      </w:r>
      <w:r>
        <w:t xml:space="preserve"> </w:t>
      </w:r>
      <w:r>
        <w:t xml:space="preserve">door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Southern</w:t>
      </w:r>
      <w:r>
        <w:t xml:space="preserve"> </w:t>
      </w:r>
      <w:r>
        <w:t xml:space="preserve">tower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first</w:t>
      </w:r>
      <w:r>
        <w:t xml:space="preserve"> </w:t>
      </w:r>
      <w:r>
        <w:t xml:space="preserve">row</w:t>
      </w:r>
      <w:r>
        <w:t xml:space="preserve"> </w:t>
      </w:r>
      <w:r>
        <w:t xml:space="preserve">of</w:t>
      </w:r>
      <w:r>
        <w:t xml:space="preserve"> </w:t>
      </w:r>
      <w:r>
        <w:t xml:space="preserve">Prasat</w:t>
      </w:r>
      <w:r>
        <w:t xml:space="preserve"> </w:t>
      </w:r>
      <w:r>
        <w:t xml:space="preserve">Lolei,</w:t>
      </w:r>
      <w:r>
        <w:t xml:space="preserve"> </w:t>
      </w:r>
      <w:r>
        <w:t xml:space="preserve">815</w:t>
      </w:r>
      <w:r>
        <w:t xml:space="preserve"> </w:t>
      </w:r>
      <w:r>
        <w:t xml:space="preserve">Śaka</w:t>
      </w:r>
    </w:p>
    <w:p>
      <w:pPr>
        <w:pStyle w:val="Author"/>
      </w:pPr>
      <w:r>
        <w:t xml:space="preserve">Kunthea</w:t>
      </w:r>
      <w:r>
        <w:t xml:space="preserve"> </w:t>
      </w:r>
      <w:r>
        <w:t xml:space="preserve">Chhom</w:t>
      </w:r>
      <w:r>
        <w:t xml:space="preserve"> </w:t>
      </w:r>
      <w:r>
        <w:t xml:space="preserve">and</w:t>
      </w:r>
      <w:r>
        <w:t xml:space="preserve"> </w:t>
      </w:r>
      <w:r>
        <w:t xml:space="preserve">Dominique</w:t>
      </w:r>
      <w:r>
        <w:t xml:space="preserve"> </w:t>
      </w:r>
      <w:r>
        <w:t xml:space="preserve">Soutif</w:t>
      </w:r>
    </w:p>
    <w:p>
      <w:pPr>
        <w:pStyle w:val="FirstParagraph"/>
      </w:pPr>
      <w:r>
        <w:t xml:space="preserve">Identifier: DHARMA_INSCIK00328</w:t>
      </w:r>
    </w:p>
    <w:p>
      <w:pPr>
        <w:pStyle w:val="BodyText"/>
      </w:pPr>
      <w:r>
        <w:t xml:space="preserve">Repository: Khmer (tfc-khmer-epigraphy)</w:t>
      </w:r>
    </w:p>
    <w:p>
      <w:pPr>
        <w:pStyle w:val="BodyText"/>
      </w:pPr>
      <w:r>
        <w:t xml:space="preserve">Commit: 2026-09-29 15:14 (1d5b11b), last modified 2026-09-19 07:30 (6c36829)</w:t>
      </w:r>
    </w:p>
    <w:p>
      <w:pPr>
        <w:pStyle w:val="Heading1"/>
      </w:pPr>
      <w:r>
        <w:t xml:space="preserve">Palaeographic description</w:t>
      </w:r>
    </w:p>
    <w:p>
      <w:pPr>
        <w:pStyle w:val="FirstParagraph"/>
      </w:pPr>
      <w:r>
        <w:t xml:space="preserve">The lettering is characteristic of the ninth century CE.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↜ ⫽ 815 śaka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jaṁnvan· kamrate</w:t>
      </w:r>
      <w:r>
        <w:rPr>
          <w:rStyle w:val="ColorGray"/>
        </w:rPr>
        <w:t xml:space="preserve">⟨3⟩</w:t>
      </w:r>
      <w:r>
        <w:t xml:space="preserve">ṅ· Añ· śrī narā</w:t>
      </w:r>
      <w:r>
        <w:rPr>
          <w:rStyle w:val="ColorGray"/>
        </w:rPr>
        <w:t xml:space="preserve">⟨4⟩</w:t>
      </w:r>
      <w:r>
        <w:t xml:space="preserve">dhipativarmma ta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⟨5⟩</w:t>
      </w:r>
      <w:r>
        <w:rPr>
          <w:rStyle w:val="ColorGray"/>
        </w:rPr>
        <w:t xml:space="preserve"> </w:t>
      </w:r>
      <w:r>
        <w:t xml:space="preserve">vraḥ kamrateṅ·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⟨6⟩</w:t>
      </w:r>
      <w:r>
        <w:rPr>
          <w:rStyle w:val="ColorGray"/>
        </w:rPr>
        <w:t xml:space="preserve"> </w:t>
      </w:r>
      <w:r>
        <w:t xml:space="preserve">Añ· śrī mahī</w:t>
      </w:r>
      <w:r>
        <w:rPr>
          <w:rStyle w:val="ColorGray"/>
        </w:rPr>
        <w:t xml:space="preserve">⟨7⟩</w:t>
      </w:r>
      <w:r>
        <w:t xml:space="preserve">patīśvara sruk·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⟨8⟩</w:t>
      </w:r>
      <w:r>
        <w:rPr>
          <w:rStyle w:val="ColorGray"/>
        </w:rPr>
        <w:t xml:space="preserve"> </w:t>
      </w:r>
      <w:r>
        <w:t xml:space="preserve">kvāc· Amraḥ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⟨9⟩</w:t>
      </w:r>
      <w:r>
        <w:rPr>
          <w:rStyle w:val="ColorGray"/>
        </w:rPr>
        <w:t xml:space="preserve"> </w:t>
      </w:r>
      <w:r>
        <w:t xml:space="preserve">śrī dhara I gho pno</w:t>
      </w:r>
      <w:r>
        <w:rPr>
          <w:rStyle w:val="ColorGray"/>
        </w:rPr>
        <w:t xml:space="preserve">⟨10⟩</w:t>
      </w:r>
      <w:r>
        <w:t xml:space="preserve">s· I gho vrahe</w:t>
      </w:r>
      <w:r>
        <w:rPr>
          <w:rStyle w:val="ColorGray"/>
        </w:rPr>
        <w:t xml:space="preserve">⟨11⟩</w:t>
      </w:r>
      <w:r>
        <w:t xml:space="preserve">y· I gho cke I gho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⟨12⟩</w:t>
      </w:r>
      <w:r>
        <w:rPr>
          <w:rStyle w:val="ColorGray"/>
        </w:rPr>
        <w:t xml:space="preserve"> </w:t>
      </w:r>
      <w:r>
        <w:t xml:space="preserve">kandhān· I tai kaṁ</w:t>
      </w:r>
      <w:r>
        <w:rPr>
          <w:rStyle w:val="ColorGray"/>
        </w:rPr>
        <w:t xml:space="preserve">⟨13⟩</w:t>
      </w:r>
      <w:r>
        <w:t xml:space="preserve">vī I tai pit so 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⟨14⟩</w:t>
      </w:r>
      <w:r>
        <w:rPr>
          <w:rStyle w:val="ColorGray"/>
        </w:rPr>
        <w:t xml:space="preserve"> </w:t>
      </w:r>
      <w:r>
        <w:t xml:space="preserve">tai kandhī I tai kaṁ</w:t>
      </w:r>
      <w:r>
        <w:rPr>
          <w:rStyle w:val="ColorGray"/>
        </w:rPr>
        <w:t xml:space="preserve">⟨15⟩</w:t>
      </w:r>
      <w:r>
        <w:t xml:space="preserve">vaḥ I sī rat· I sī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⟨16⟩</w:t>
      </w:r>
      <w:r>
        <w:rPr>
          <w:rStyle w:val="ColorGray"/>
        </w:rPr>
        <w:t xml:space="preserve"> </w:t>
      </w:r>
      <w:r>
        <w:t xml:space="preserve">pau I pamas· jnau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⟨17⟩</w:t>
      </w:r>
      <w:r>
        <w:rPr>
          <w:rStyle w:val="ColorGray"/>
        </w:rPr>
        <w:t xml:space="preserve"> </w:t>
      </w:r>
      <w:r>
        <w:t xml:space="preserve">tai saṁAp· I ma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⟨18⟩</w:t>
      </w:r>
      <w:r>
        <w:rPr>
          <w:rStyle w:val="ColorGray"/>
        </w:rPr>
        <w:t xml:space="preserve"> </w:t>
      </w:r>
      <w:r>
        <w:t xml:space="preserve">hānasa sī cra</w:t>
      </w:r>
      <w:r>
        <w:rPr>
          <w:rStyle w:val="ColorGray"/>
        </w:rPr>
        <w:t xml:space="preserve">⟨19⟩</w:t>
      </w:r>
      <w:r>
        <w:t xml:space="preserve">dit· I ⭘ piṇda sru</w:t>
      </w:r>
      <w:r>
        <w:rPr>
          <w:rStyle w:val="ColorGray"/>
        </w:rPr>
        <w:t xml:space="preserve">⟨20⟩</w:t>
      </w:r>
      <w:r>
        <w:t xml:space="preserve">k· I Amraḥ I gho 5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⟨21⟩</w:t>
      </w:r>
      <w:r>
        <w:rPr>
          <w:rStyle w:val="ColorGray"/>
        </w:rPr>
        <w:t xml:space="preserve"> </w:t>
      </w:r>
      <w:r>
        <w:t xml:space="preserve">tai 5 sī rat· I sī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⟨22⟩</w:t>
      </w:r>
      <w:r>
        <w:rPr>
          <w:rStyle w:val="ColorGray"/>
        </w:rPr>
        <w:t xml:space="preserve"> </w:t>
      </w:r>
      <w:r>
        <w:t xml:space="preserve">pau I psaṁ 10 III ⦿</w:t>
      </w:r>
    </w:p>
    <w:p>
      <w:pPr>
        <w:pStyle w:val="Heading1"/>
      </w:pPr>
      <w:r>
        <w:t xml:space="preserve">Apparatus</w:t>
      </w:r>
    </w:p>
    <w:p>
      <w:pPr>
        <w:pStyle w:val="FirstParagraph"/>
      </w:pPr>
      <w:r>
        <w:rPr>
          <w:rStyle w:val="ColorGray"/>
        </w:rPr>
        <w:t xml:space="preserve">⟨3⟩</w:t>
      </w:r>
      <w:r>
        <w:t xml:space="preserve"> </w:t>
      </w:r>
      <w:r>
        <w:t xml:space="preserve">narā</w:t>
      </w:r>
      <w:r>
        <w:rPr>
          <w:rStyle w:val="ColorGray"/>
        </w:rPr>
        <w:t xml:space="preserve">⟨4⟩</w:t>
      </w:r>
      <w:r>
        <w:t xml:space="preserve">dhipativarmma ⬦</w:t>
      </w:r>
      <w:r>
        <w:t xml:space="preserve"> </w:t>
      </w:r>
      <w:r>
        <w:rPr>
          <w:rStyle w:val="ColorGreen"/>
          <w:iCs/>
          <w:i/>
        </w:rPr>
        <w:t xml:space="preserve">dharā</w:t>
      </w:r>
      <w:r>
        <w:rPr>
          <w:rStyle w:val="ColorGray"/>
          <w:iCs/>
          <w:i/>
        </w:rPr>
        <w:t xml:space="preserve">⟨4⟩</w:t>
      </w:r>
      <w:r>
        <w:rPr>
          <w:rStyle w:val="ColorGreen"/>
          <w:iCs/>
          <w:i/>
        </w:rPr>
        <w:t xml:space="preserve">dhipativarmma</w:t>
      </w:r>
      <w:r>
        <w:t xml:space="preserve"> </w:t>
      </w:r>
      <w:r>
        <w:t xml:space="preserve">SP.</w:t>
      </w:r>
    </w:p>
    <w:p>
      <w:pPr>
        <w:pStyle w:val="BodyText"/>
      </w:pPr>
      <w:r>
        <w:rPr>
          <w:rStyle w:val="ColorGray"/>
        </w:rPr>
        <w:t xml:space="preserve">⟨8⟩</w:t>
      </w:r>
      <w:r>
        <w:t xml:space="preserve"> </w:t>
      </w:r>
      <w:r>
        <w:t xml:space="preserve">kcāc· ⬦</w:t>
      </w:r>
      <w:r>
        <w:t xml:space="preserve"> </w:t>
      </w:r>
      <w:r>
        <w:rPr>
          <w:rStyle w:val="ColorGreen"/>
          <w:iCs/>
          <w:i/>
        </w:rPr>
        <w:t xml:space="preserve">kvāc·</w:t>
      </w:r>
      <w:r>
        <w:t xml:space="preserve"> </w:t>
      </w:r>
      <w:r>
        <w:t xml:space="preserve">SP.</w:t>
      </w:r>
    </w:p>
    <w:p>
      <w:pPr>
        <w:pStyle w:val="BodyText"/>
      </w:pPr>
      <w:r>
        <w:rPr>
          <w:rStyle w:val="ColorGray"/>
        </w:rPr>
        <w:t xml:space="preserve">⟨18⟩</w:t>
      </w:r>
      <w:r>
        <w:t xml:space="preserve"> </w:t>
      </w:r>
      <w:r>
        <w:t xml:space="preserve">sī ⬦</w:t>
      </w:r>
      <w:r>
        <w:t xml:space="preserve"> </w:t>
      </w:r>
      <w:r>
        <w:rPr>
          <w:rStyle w:val="ColorGreen"/>
          <w:iCs/>
          <w:i/>
        </w:rPr>
        <w:t xml:space="preserve">si</w:t>
      </w:r>
      <w:r>
        <w:t xml:space="preserve"> </w:t>
      </w:r>
      <w:r>
        <w:t xml:space="preserve">SP.</w:t>
      </w:r>
    </w:p>
    <w:p>
      <w:pPr>
        <w:pStyle w:val="BodyText"/>
      </w:pPr>
      <w:r>
        <w:rPr>
          <w:rStyle w:val="ColorGray"/>
        </w:rPr>
        <w:t xml:space="preserve">⟨19⟩</w:t>
      </w:r>
      <w:r>
        <w:t xml:space="preserve"> </w:t>
      </w:r>
      <w:r>
        <w:t xml:space="preserve">dit· I ⬦</w:t>
      </w:r>
      <w:r>
        <w:t xml:space="preserve"> </w:t>
      </w:r>
      <w:r>
        <w:rPr>
          <w:rStyle w:val="ColorGreen"/>
          <w:iCs/>
          <w:i/>
        </w:rPr>
        <w:t xml:space="preserve">di</w:t>
      </w:r>
      <w:r>
        <w:t xml:space="preserve"> </w:t>
      </w:r>
      <w:r>
        <w:t xml:space="preserve">SP.</w:t>
      </w:r>
    </w:p>
    <w:p>
      <w:pPr>
        <w:pStyle w:val="Heading1"/>
      </w:pPr>
      <w:r>
        <w:t xml:space="preserve">Translation into French by Soutif 2009</w:t>
      </w:r>
    </w:p>
    <w:p>
      <w:pPr>
        <w:pStyle w:val="FirstParagraph"/>
      </w:pPr>
      <w:r>
        <w:rPr>
          <w:rStyle w:val="ColorGray"/>
        </w:rPr>
        <w:t xml:space="preserve">⟨1–7⟩</w:t>
      </w:r>
      <w:r>
        <w:t xml:space="preserve"> </w:t>
      </w:r>
      <w:r>
        <w:t xml:space="preserve">815</w:t>
      </w:r>
      <w:r>
        <w:t xml:space="preserve"> </w:t>
      </w:r>
      <w:r>
        <w:rPr>
          <w:iCs/>
          <w:i/>
        </w:rPr>
        <w:t xml:space="preserve">śaka</w:t>
      </w:r>
      <w:r>
        <w:t xml:space="preserve"> </w:t>
      </w:r>
      <w:r>
        <w:t xml:space="preserve">; offrande du Kamrateṅ Añ Śrī Narādhipativarman au Vraḥ Kamrateṅ Añ śrī Mahīpatīśvara :</w:t>
      </w:r>
    </w:p>
    <w:p>
      <w:pPr>
        <w:pStyle w:val="BodyText"/>
      </w:pPr>
      <w:r>
        <w:rPr>
          <w:rStyle w:val="ColorGray"/>
        </w:rPr>
        <w:t xml:space="preserve">⟨7–19⟩</w:t>
      </w:r>
      <w:r>
        <w:t xml:space="preserve"> </w:t>
      </w:r>
      <w:r>
        <w:t xml:space="preserve">commune de Kcāc : 1</w:t>
      </w:r>
      <w:r>
        <w:t xml:space="preserve"> </w:t>
      </w:r>
      <w:r>
        <w:rPr>
          <w:iCs/>
          <w:i/>
        </w:rPr>
        <w:t xml:space="preserve">Amraḥ</w:t>
      </w:r>
      <w:r>
        <w:t xml:space="preserve"> </w:t>
      </w:r>
      <w:r>
        <w:t xml:space="preserve">: Śrīdhara ; (suit une liste de 4</w:t>
      </w:r>
      <w:r>
        <w:t xml:space="preserve"> </w:t>
      </w:r>
      <w:r>
        <w:rPr>
          <w:iCs/>
          <w:i/>
        </w:rPr>
        <w:t xml:space="preserve">gho</w:t>
      </w:r>
      <w:r>
        <w:t xml:space="preserve">, 4</w:t>
      </w:r>
      <w:r>
        <w:t xml:space="preserve"> </w:t>
      </w:r>
      <w:r>
        <w:rPr>
          <w:iCs/>
          <w:i/>
        </w:rPr>
        <w:t xml:space="preserve">tai</w:t>
      </w:r>
      <w:r>
        <w:t xml:space="preserve">, 1</w:t>
      </w:r>
      <w:r>
        <w:t xml:space="preserve"> </w:t>
      </w:r>
      <w:r>
        <w:rPr>
          <w:iCs/>
          <w:i/>
        </w:rPr>
        <w:t xml:space="preserve">sī rat</w:t>
      </w:r>
      <w:r>
        <w:t xml:space="preserve">, 1</w:t>
      </w:r>
      <w:r>
        <w:t xml:space="preserve"> </w:t>
      </w:r>
      <w:r>
        <w:rPr>
          <w:iCs/>
          <w:i/>
        </w:rPr>
        <w:t xml:space="preserve">sī pau</w:t>
      </w:r>
      <w:r>
        <w:t xml:space="preserve">) ; une broyeuse d’aromates :</w:t>
      </w:r>
      <w:r>
        <w:t xml:space="preserve"> </w:t>
      </w:r>
      <w:r>
        <w:rPr>
          <w:iCs/>
          <w:i/>
        </w:rPr>
        <w:t xml:space="preserve">tai</w:t>
      </w:r>
      <w:r>
        <w:t xml:space="preserve"> </w:t>
      </w:r>
      <w:r>
        <w:t xml:space="preserve">SaṁAp ; un cuisinier :</w:t>
      </w:r>
      <w:r>
        <w:t xml:space="preserve"> </w:t>
      </w:r>
      <w:r>
        <w:rPr>
          <w:iCs/>
          <w:i/>
        </w:rPr>
        <w:t xml:space="preserve">sī</w:t>
      </w:r>
      <w:r>
        <w:t xml:space="preserve"> </w:t>
      </w:r>
      <w:r>
        <w:t xml:space="preserve">Cradit.</w:t>
      </w:r>
    </w:p>
    <w:p>
      <w:pPr>
        <w:pStyle w:val="BodyText"/>
      </w:pPr>
      <w:r>
        <w:rPr>
          <w:rStyle w:val="ColorGray"/>
        </w:rPr>
        <w:t xml:space="preserve">⟨19–22⟩</w:t>
      </w:r>
      <w:r>
        <w:t xml:space="preserve"> </w:t>
      </w:r>
      <w:r>
        <w:t xml:space="preserve">Total : 1 commune, 1 contremaître, 5 hommes, 5 femmes, 1 garçon en âge de courir, 1 bébé de sexe masculin ; au total : 13.</w:t>
      </w:r>
    </w:p>
    <w:p>
      <w:pPr>
        <w:pStyle w:val="Heading1"/>
      </w:pPr>
      <w:r>
        <w:t xml:space="preserve">Commentary</w:t>
      </w:r>
    </w:p>
    <w:p>
      <w:pPr>
        <w:pStyle w:val="FirstParagraph"/>
      </w:pPr>
      <w:r>
        <w:rPr>
          <w:rStyle w:val="ColorGray"/>
        </w:rPr>
        <w:t xml:space="preserve">⟨7⟩</w:t>
      </w:r>
      <w:r>
        <w:t xml:space="preserve"> </w:t>
      </w:r>
      <w:r>
        <w:t xml:space="preserve">Après</w:t>
      </w:r>
      <w:r>
        <w:t xml:space="preserve"> </w:t>
      </w:r>
      <w:r>
        <w:rPr>
          <w:iCs/>
          <w:i/>
        </w:rPr>
        <w:t xml:space="preserve">sruk</w:t>
      </w:r>
      <w:r>
        <w:t xml:space="preserve"> </w:t>
      </w:r>
      <w:r>
        <w:t xml:space="preserve">Saveros Pou note [3+], pourtant, tous les caractères sont lisibles et il semble que rien n’était inscrit après ce mot.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First edited by Saveros Pou (2001, p. 75); reedited by Dominique Soutif (2009, p. 525) with a French translation.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Cs/>
          <w:b/>
        </w:rPr>
        <w:t xml:space="preserve">[DS]</w:t>
      </w:r>
      <w:r>
        <w:t xml:space="preserve"> </w:t>
      </w:r>
      <w:r>
        <w:t xml:space="preserve">Soutif, Dominique. 2009. “Organisation rituelle et profane du temple khmer du</w:t>
      </w:r>
      <w:r>
        <w:t xml:space="preserve"> </w:t>
      </w:r>
      <w:r>
        <w:rPr>
          <w:smallCaps/>
        </w:rPr>
        <w:t xml:space="preserve">vii</w:t>
      </w:r>
      <w:r>
        <w:rPr>
          <w:vertAlign w:val="superscript"/>
        </w:rPr>
        <w:t xml:space="preserve">ème</w:t>
      </w:r>
      <w:r>
        <w:t xml:space="preserve"> </w:t>
      </w:r>
      <w:r>
        <w:t xml:space="preserve">au</w:t>
      </w:r>
      <w:r>
        <w:t xml:space="preserve"> </w:t>
      </w:r>
      <w:r>
        <w:rPr>
          <w:smallCaps/>
        </w:rPr>
        <w:t xml:space="preserve">xiii</w:t>
      </w:r>
      <w:r>
        <w:rPr>
          <w:vertAlign w:val="superscript"/>
        </w:rPr>
        <w:t xml:space="preserve">ème</w:t>
      </w:r>
      <w:r>
        <w:t xml:space="preserve"> </w:t>
      </w:r>
      <w:r>
        <w:t xml:space="preserve">siècle.” PhD Thesis, Paris III - Sorbonne nouvelle. No place.</w:t>
      </w:r>
      <w:r>
        <w:t xml:space="preserve"> </w:t>
      </w:r>
      <w:hyperlink r:id="rId20">
        <w:r>
          <w:rPr>
            <w:rStyle w:val="Hyperlink"/>
          </w:rPr>
          <w:t xml:space="preserve">[URL]</w:t>
        </w:r>
      </w:hyperlink>
      <w:r>
        <w:t xml:space="preserve">. Page 525.</w:t>
      </w:r>
    </w:p>
    <w:p>
      <w:pPr>
        <w:pStyle w:val="BodyText"/>
      </w:pPr>
      <w:r>
        <w:rPr>
          <w:bCs/>
          <w:b/>
        </w:rPr>
        <w:t xml:space="preserve">[SP]</w:t>
      </w:r>
      <w:r>
        <w:t xml:space="preserve"> </w:t>
      </w:r>
      <w:r>
        <w:t xml:space="preserve">Pou, Saveros. 2001.</w:t>
      </w:r>
      <w:r>
        <w:t xml:space="preserve"> </w:t>
      </w:r>
      <w:r>
        <w:rPr>
          <w:iCs/>
          <w:i/>
        </w:rPr>
        <w:t xml:space="preserve">Nouvelles inscriptions du Cambodge, volumes II et III</w:t>
      </w:r>
      <w:r>
        <w:t xml:space="preserve">. Paris: École française d’Extrême-Orient.</w:t>
      </w:r>
      <w:r>
        <w:t xml:space="preserve"> </w:t>
      </w:r>
      <w:hyperlink r:id="rId21">
        <w:r>
          <w:rPr>
            <w:rStyle w:val="Hyperlink"/>
          </w:rPr>
          <w:t xml:space="preserve">[URL]</w:t>
        </w:r>
      </w:hyperlink>
      <w:r>
        <w:t xml:space="preserve">. Page 75.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variable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proofState w:grammar="clean" w:spelling="clean"/>
  <w:stylePaneFormatFilter w:val="0004"/>
  <w:footnotePr>
    <w:footnote w:id="-1"/>
    <w:footnote w:id="0"/>
  </w:footnotePr>
  <w:doNotTrackMoves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zoom w:percent="100"/>
  <w:embedSystemFonts/>
  <w:defaultTabStop w:val="720"/>
  <w:autoHyphenation w:val="true"/>
  <w:hyphenationZone w:val="0"/>
  <w:compat>
    <w:compatSetting w:name="compatibilityMode" w:uri="http://schemas.microsoft.com/office/word" w:val="12"/>
  </w:compat>
  <w:themeFontLang w:bidi="" w:eastAsia="" w:val="en-US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808080"/>
    </w:rPr>
  </w:style>
  <w:style w:styleId="ColorGreen" w:type="character">
    <w:name w:val="ColorGreen"/>
    <w:basedOn w:val="DefaultParagraphFont"/>
    <w:qFormat/>
    <w:rPr>
      <w:color w:val="00A933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FF0000"/>
    </w:rPr>
  </w:style>
  <w:style w:styleId="ColorMagenta" w:type="character">
    <w:name w:val="ColorMagenta"/>
    <w:basedOn w:val="ColorBrown"/>
    <w:qFormat/>
    <w:rPr>
      <w:color w:val="A7074B"/>
    </w:rPr>
  </w:style>
  <w:style w:styleId="ColorBlue" w:type="character">
    <w:name w:val="ColorBlue"/>
    <w:basedOn w:val="ColorGray"/>
    <w:qFormat/>
    <w:rPr>
      <w:color w:val="3465A4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/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/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/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www.theses.fr/2009PA030074" TargetMode="External" /><Relationship Type="http://schemas.openxmlformats.org/officeDocument/2006/relationships/hyperlink" Id="rId21" Target="https://sharedocs.huma-num.fr/wl/?id=iOJj0LkJiJMCNZILplrBaC7aj9jIpOl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www.theses.fr/2009PA030074" TargetMode="External" /><Relationship Type="http://schemas.openxmlformats.org/officeDocument/2006/relationships/hyperlink" Id="rId21" Target="https://sharedocs.huma-num.fr/wl/?id=iOJj0LkJiJMCNZILplrBaC7aj9jIpOla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Application>LibreOffice/26.2.6.3$Linux_X86_64 LibreOffice_project/620$Build-3</Application>
  <AppVersion>15.0000</AppVersion>
  <Pages>1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K. 328. East doorjambs of South false door of the Southern tower of the first row of Prasat Lolei, 815 Śaka</dc:title>
  <dc:creator>Kunthea Chhom and Dominique Soutif</dc:creator>
  <cp:keywords/>
  <dcterms:created xsi:type="dcterms:W3CDTF">2026-09-30T00:46:25Z</dcterms:created>
  <dcterms:modified xsi:type="dcterms:W3CDTF">2026-09-30T00:46:25Z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