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 40. Doorjamb of Prasat Ta Prohm, Vat Bati, 5th century Śaka</w:t>
      </w:r>
    </w:p>
    <w:p>
      <w:pPr>
        <w:pStyle w:val="Author"/>
      </w:pPr>
      <w:r>
        <w:t xml:space="preserve">Kunthea Chhom and Arlo Griffiths</w:t>
      </w:r>
    </w:p>
    <w:p>
      <w:pPr>
        <w:pStyle w:val="FirstParagraph"/>
      </w:pPr>
      <w:r>
        <w:t xml:space="preserve">Authors of digital edition: Kunthea Chhom, Arlo Griffiths</w:t>
      </w:r>
    </w:p>
    <w:p>
      <w:pPr>
        <w:pStyle w:val="BodyText"/>
      </w:pPr>
      <w:r>
        <w:t xml:space="preserve">Identifier: DHARMA_INSCIK00040</w:t>
      </w:r>
    </w:p>
    <w:p>
      <w:pPr>
        <w:pStyle w:val="BodyText"/>
      </w:pPr>
      <w:r>
        <w:t xml:space="preserve">Repository: Khmer (tfc-khmer-epigraphy)</w:t>
      </w:r>
    </w:p>
    <w:p>
      <w:pPr>
        <w:pStyle w:val="BodyText"/>
      </w:pPr>
      <w:r>
        <w:t xml:space="preserve">File path: texts/xml/DHARMA_INSCIK00040.xml</w:t>
      </w:r>
    </w:p>
    <w:p>
      <w:pPr>
        <w:pStyle w:val="BodyText"/>
      </w:pPr>
      <w:r>
        <w:t xml:space="preserve">Language: Sanskrit [Khmer]</w:t>
      </w:r>
    </w:p>
    <w:p>
      <w:pPr>
        <w:pStyle w:val="BodyText"/>
      </w:pPr>
      <w:r>
        <w:t xml:space="preserve">Commit: 2026-10-23 15:46 (7597515), last modified 2026-09-17 01:54 (2c24a58)</w:t>
      </w:r>
    </w:p>
    <w:p>
      <w:pPr>
        <w:pStyle w:val="Heading1"/>
      </w:pPr>
      <w:r>
        <w:t xml:space="preserve">Palaeographic description</w:t>
      </w:r>
    </w:p>
    <w:p>
      <w:pPr>
        <w:pStyle w:val="FirstParagraph"/>
      </w:pPr>
      <w:r>
        <w:t xml:space="preserve">The lettering is characteristic of the fifth-sixth century CE. The</w:t>
      </w:r>
      <w:r>
        <w:t xml:space="preserve"> </w:t>
      </w:r>
      <w:r>
        <w:rPr>
          <w:i/>
          <w:iCs/>
        </w:rPr>
        <w:t xml:space="preserve">akṣara</w:t>
      </w:r>
      <w:r>
        <w:t xml:space="preserve">s have very long ornamental descenders, as in</w:t>
      </w:r>
      <w:r>
        <w:t xml:space="preserve"> </w:t>
      </w:r>
      <w:hyperlink r:id="rId9">
        <w:r>
          <w:rPr>
            <w:rStyle w:val="Hyperlink"/>
          </w:rPr>
          <w:t xml:space="preserve">K. 1270</w:t>
        </w:r>
      </w:hyperlink>
      <w:r>
        <w:t xml:space="preserve"> </w:t>
      </w:r>
      <w:r>
        <w:t xml:space="preserve">and</w:t>
      </w:r>
      <w:r>
        <w:t xml:space="preserve"> </w:t>
      </w:r>
      <w:hyperlink r:id="rId10">
        <w:r>
          <w:rPr>
            <w:rStyle w:val="Hyperlink"/>
          </w:rPr>
          <w:t xml:space="preserve">K. 1515</w:t>
        </w:r>
      </w:hyperlink>
      <w:r>
        <w:t xml:space="preserve">.</w:t>
      </w:r>
    </w:p>
    <w:p>
      <w:r>
        <w:pict>
          <v:rect style="width:0;height:1.5pt" o:hralign="center" o:hrstd="t" o:hr="t"/>
        </w:pict>
      </w:r>
    </w:p>
    <w:p>
      <w:pPr>
        <w:pStyle w:val="Heading1"/>
      </w:pPr>
      <w:r>
        <w:t xml:space="preserve">Edition</w:t>
      </w:r>
    </w:p>
    <w:p>
      <w:pPr>
        <w:pStyle w:val="FirstParagraph"/>
      </w:pPr>
      <w:r>
        <w:t xml:space="preserve">1.</w:t>
      </w:r>
      <w:r>
        <w:t xml:space="preserve"> </w:t>
      </w:r>
      <w:hyperlink r:id="rId11">
        <w:r>
          <w:rPr>
            <w:rStyle w:val="Hyperlink"/>
          </w:rPr>
          <w:t xml:space="preserve">Pr̥thvī</w:t>
        </w:r>
      </w:hyperlink>
    </w:p>
    <w:p>
      <w:pPr>
        <w:pStyle w:val="BodyText"/>
      </w:pPr>
      <w:r>
        <w:rPr>
          <w:rStyle w:val="ColorGray"/>
        </w:rPr>
        <w:t xml:space="preserve"> </w:t>
      </w:r>
      <w:r>
        <w:rPr>
          <w:rStyle w:val="ColorGray"/>
        </w:rPr>
        <w:t xml:space="preserve">⟨1⟩</w:t>
      </w:r>
      <w:r>
        <w:rPr>
          <w:rStyle w:val="ColorGray"/>
        </w:rPr>
        <w:t xml:space="preserve"> </w:t>
      </w:r>
      <w:r>
        <w:rPr>
          <w:rStyle w:val="ColorGray"/>
        </w:rPr>
        <w:t xml:space="preserve"> </w:t>
      </w:r>
      <w:r>
        <w:rPr>
          <w:rStyle w:val="ColorGray"/>
        </w:rPr>
        <w:t xml:space="preserve">⟨Column a⟩</w:t>
      </w:r>
      <w:r>
        <w:rPr>
          <w:rStyle w:val="ColorGray"/>
        </w:rPr>
        <w:t xml:space="preserve"> </w:t>
      </w:r>
      <w:r>
        <w:t xml:space="preserve">jitaṁ vijitavāsanāsahitasarvvadoṣāriṇā</w:t>
      </w:r>
      <w:r>
        <w:br/>
      </w:r>
      <w:r>
        <w:rPr>
          <w:rStyle w:val="ColorGray"/>
        </w:rPr>
        <w:t xml:space="preserve">⟨Column b⟩</w:t>
      </w:r>
      <w:r>
        <w:rPr>
          <w:rStyle w:val="ColorGray"/>
        </w:rPr>
        <w:t xml:space="preserve"> </w:t>
      </w:r>
      <w:r>
        <w:t xml:space="preserve">nirāvaraṇabuddhinādhigatasarvvathā[sampadā]</w:t>
      </w:r>
      <w:r>
        <w:br/>
      </w:r>
      <w:r>
        <w:rPr>
          <w:rStyle w:val="ColorGray"/>
        </w:rPr>
        <w:t xml:space="preserve">⟨2⟩</w:t>
      </w:r>
      <w:r>
        <w:rPr>
          <w:rStyle w:val="ColorGray"/>
        </w:rPr>
        <w:t xml:space="preserve"> </w:t>
      </w:r>
      <w:r>
        <w:rPr>
          <w:rStyle w:val="ColorGray"/>
        </w:rPr>
        <w:t xml:space="preserve"> </w:t>
      </w:r>
      <w:r>
        <w:rPr>
          <w:rStyle w:val="ColorGray"/>
        </w:rPr>
        <w:t xml:space="preserve">⟨Column c⟩</w:t>
      </w:r>
      <w:r>
        <w:rPr>
          <w:rStyle w:val="ColorGray"/>
        </w:rPr>
        <w:t xml:space="preserve"> </w:t>
      </w:r>
      <w:r>
        <w:t xml:space="preserve">ji[n]ena karuṇātmanā parahitapravr̥ttātmanā</w:t>
      </w:r>
      <w:r>
        <w:br/>
      </w:r>
      <w:r>
        <w:rPr>
          <w:rStyle w:val="ColorGray"/>
        </w:rPr>
        <w:t xml:space="preserve">⟨Column d⟩</w:t>
      </w:r>
      <w:r>
        <w:rPr>
          <w:rStyle w:val="ColorGray"/>
        </w:rPr>
        <w:t xml:space="preserve"> </w:t>
      </w:r>
      <w:r>
        <w:t xml:space="preserve">digantaravisarppinirmmalabr̥hadyaśa [–––]</w:t>
      </w:r>
    </w:p>
    <w:p>
      <w:pPr>
        <w:pStyle w:val="BodyText"/>
      </w:pPr>
      <w:r>
        <w:t xml:space="preserve">2.</w:t>
      </w:r>
      <w:r>
        <w:t xml:space="preserve"> </w:t>
      </w:r>
      <w:hyperlink r:id="rId12">
        <w:r>
          <w:rPr>
            <w:rStyle w:val="Hyperlink"/>
          </w:rPr>
          <w:t xml:space="preserve">Śārdūlavikrīḍita</w:t>
        </w:r>
      </w:hyperlink>
    </w:p>
    <w:p>
      <w:pPr>
        <w:pStyle w:val="BodyText"/>
      </w:pPr>
      <w:r>
        <w:rPr>
          <w:rStyle w:val="ColorGray"/>
        </w:rPr>
        <w:t xml:space="preserve">⟨3⟩</w:t>
      </w:r>
      <w:r>
        <w:rPr>
          <w:rStyle w:val="ColorGray"/>
        </w:rPr>
        <w:t xml:space="preserve"> </w:t>
      </w:r>
      <w:r>
        <w:rPr>
          <w:rStyle w:val="ColorGray"/>
        </w:rPr>
        <w:t xml:space="preserve"> </w:t>
      </w:r>
      <w:r>
        <w:rPr>
          <w:rStyle w:val="ColorGray"/>
        </w:rPr>
        <w:t xml:space="preserve">⟨Column a⟩</w:t>
      </w:r>
      <w:r>
        <w:rPr>
          <w:rStyle w:val="ColorGray"/>
        </w:rPr>
        <w:t xml:space="preserve"> </w:t>
      </w:r>
      <w:r>
        <w:t xml:space="preserve">Ud[dhr̥]tya tribhavā[m]bu [–⏑] [pa?] titaṁ lokaṁ nirālambanaṁ</w:t>
      </w:r>
      <w:r>
        <w:br/>
      </w:r>
      <w:r>
        <w:rPr>
          <w:rStyle w:val="ColorGray"/>
        </w:rPr>
        <w:t xml:space="preserve">⟨Column b⟩</w:t>
      </w:r>
      <w:r>
        <w:rPr>
          <w:rStyle w:val="ColorGray"/>
        </w:rPr>
        <w:t xml:space="preserve"> </w:t>
      </w:r>
      <w:r>
        <w:t xml:space="preserve">nirvvāṇasthalam uttaman nirupamaṁ saṁprāp[ya] [––⏑–]</w:t>
      </w:r>
      <w:r>
        <w:br/>
      </w:r>
      <w:r>
        <w:rPr>
          <w:rStyle w:val="ColorGray"/>
        </w:rPr>
        <w:t xml:space="preserve">⟨4⟩</w:t>
      </w:r>
      <w:r>
        <w:rPr>
          <w:rStyle w:val="ColorGray"/>
        </w:rPr>
        <w:t xml:space="preserve"> </w:t>
      </w:r>
      <w:r>
        <w:rPr>
          <w:rStyle w:val="ColorGray"/>
        </w:rPr>
        <w:t xml:space="preserve"> </w:t>
      </w:r>
      <w:r>
        <w:rPr>
          <w:rStyle w:val="ColorGray"/>
        </w:rPr>
        <w:t xml:space="preserve">⟨Column c⟩</w:t>
      </w:r>
      <w:r>
        <w:rPr>
          <w:rStyle w:val="ColorGray"/>
        </w:rPr>
        <w:t xml:space="preserve"> </w:t>
      </w:r>
      <w:r>
        <w:t xml:space="preserve">yasyādyāpi ca kurvvate parahitaṁ śrīdhātavaś śeṣitā</w:t>
      </w:r>
      <w:r>
        <w:rPr>
          <w:rStyle w:val="ColorGray"/>
        </w:rPr>
        <w:t xml:space="preserve">⟨Column d⟩</w:t>
      </w:r>
      <w:r>
        <w:t xml:space="preserve">ś</w:t>
      </w:r>
      <w:r>
        <w:br/>
      </w:r>
      <w:r>
        <w:t xml:space="preserve">śāstus tasya hitodayāya jagatāṁ sa [.][.]i [⏑––⏑–]</w:t>
      </w:r>
    </w:p>
    <w:p>
      <w:pPr>
        <w:pStyle w:val="BodyText"/>
      </w:pPr>
      <w:r>
        <w:t xml:space="preserve">3.</w:t>
      </w:r>
      <w:r>
        <w:t xml:space="preserve"> </w:t>
      </w:r>
      <w:hyperlink r:id="rId12">
        <w:r>
          <w:rPr>
            <w:rStyle w:val="Hyperlink"/>
          </w:rPr>
          <w:t xml:space="preserve">Śārdūlavikrīḍita</w:t>
        </w:r>
      </w:hyperlink>
    </w:p>
    <w:p>
      <w:pPr>
        <w:pStyle w:val="BodyText"/>
      </w:pPr>
      <w:r>
        <w:rPr>
          <w:rStyle w:val="ColorGray"/>
        </w:rPr>
        <w:t xml:space="preserve">⟨5⟩</w:t>
      </w:r>
      <w:r>
        <w:rPr>
          <w:rStyle w:val="ColorGray"/>
        </w:rPr>
        <w:t xml:space="preserve"> </w:t>
      </w:r>
      <w:r>
        <w:rPr>
          <w:rStyle w:val="ColorGray"/>
        </w:rPr>
        <w:t xml:space="preserve"> </w:t>
      </w:r>
      <w:r>
        <w:rPr>
          <w:rStyle w:val="ColorGray"/>
        </w:rPr>
        <w:t xml:space="preserve">⟨Column a⟩</w:t>
      </w:r>
      <w:r>
        <w:rPr>
          <w:rStyle w:val="ColorGray"/>
        </w:rPr>
        <w:t xml:space="preserve"> </w:t>
      </w:r>
      <w:r>
        <w:t xml:space="preserve">yasyotkr̥ṣṭatayā kr̥śo pi na guṇaẖ kaś cit sasaṁprekṣit(o/ā)</w:t>
      </w:r>
      <w:r>
        <w:br/>
      </w:r>
      <w:r>
        <w:rPr>
          <w:rStyle w:val="ColorGray"/>
        </w:rPr>
        <w:t xml:space="preserve">⟨Column b⟩</w:t>
      </w:r>
      <w:r>
        <w:rPr>
          <w:rStyle w:val="ColorGray"/>
        </w:rPr>
        <w:t xml:space="preserve"> </w:t>
      </w:r>
      <w:r>
        <w:t xml:space="preserve">yaś cūḍāmaṇivac chirassu jagatāṁ sthātuṁ nay [––⏑–]</w:t>
      </w:r>
      <w:r>
        <w:br/>
      </w:r>
      <w:r>
        <w:rPr>
          <w:rStyle w:val="ColorGray"/>
        </w:rPr>
        <w:t xml:space="preserve">⟨6⟩</w:t>
      </w:r>
      <w:r>
        <w:rPr>
          <w:rStyle w:val="ColorGray"/>
        </w:rPr>
        <w:t xml:space="preserve"> </w:t>
      </w:r>
      <w:r>
        <w:rPr>
          <w:rStyle w:val="ColorGray"/>
        </w:rPr>
        <w:t xml:space="preserve"> </w:t>
      </w:r>
      <w:r>
        <w:rPr>
          <w:rStyle w:val="ColorGray"/>
        </w:rPr>
        <w:t xml:space="preserve">⟨Column c⟩</w:t>
      </w:r>
      <w:r>
        <w:rPr>
          <w:rStyle w:val="ColorGray"/>
        </w:rPr>
        <w:t xml:space="preserve"> </w:t>
      </w:r>
      <w:r>
        <w:t xml:space="preserve">[E]kasthān akhilān narādhipaguṇān udyacchate vekṣituṁ</w:t>
      </w:r>
      <w:r>
        <w:br/>
      </w:r>
      <w:r>
        <w:rPr>
          <w:rStyle w:val="ColorGray"/>
        </w:rPr>
        <w:t xml:space="preserve">⟨Column d⟩</w:t>
      </w:r>
      <w:r>
        <w:rPr>
          <w:rStyle w:val="ColorGray"/>
        </w:rPr>
        <w:t xml:space="preserve"> </w:t>
      </w:r>
      <w:r>
        <w:t xml:space="preserve">dhātrā nirmmita Eka Eva sa bhuvi śrīrudravarmma [⏑–]</w:t>
      </w:r>
    </w:p>
    <w:p>
      <w:pPr>
        <w:pStyle w:val="BodyText"/>
      </w:pPr>
      <w:r>
        <w:t xml:space="preserve">4.</w:t>
      </w:r>
      <w:r>
        <w:t xml:space="preserve"> </w:t>
      </w:r>
      <w:hyperlink r:id="rId12">
        <w:r>
          <w:rPr>
            <w:rStyle w:val="Hyperlink"/>
          </w:rPr>
          <w:t xml:space="preserve">Śārdūlavikrīḍita</w:t>
        </w:r>
      </w:hyperlink>
    </w:p>
    <w:p>
      <w:pPr>
        <w:pStyle w:val="BodyText"/>
      </w:pPr>
      <w:r>
        <w:rPr>
          <w:rStyle w:val="ColorGray"/>
        </w:rPr>
        <w:t xml:space="preserve">⟨7⟩</w:t>
      </w:r>
      <w:r>
        <w:rPr>
          <w:rStyle w:val="ColorGray"/>
        </w:rPr>
        <w:t xml:space="preserve"> </w:t>
      </w:r>
      <w:r>
        <w:rPr>
          <w:rStyle w:val="ColorGray"/>
        </w:rPr>
        <w:t xml:space="preserve"> </w:t>
      </w:r>
      <w:r>
        <w:rPr>
          <w:rStyle w:val="ColorGray"/>
        </w:rPr>
        <w:t xml:space="preserve">⟨Column a⟩</w:t>
      </w:r>
      <w:r>
        <w:rPr>
          <w:rStyle w:val="ColorGray"/>
        </w:rPr>
        <w:t xml:space="preserve"> </w:t>
      </w:r>
      <w:r>
        <w:t xml:space="preserve">sarvva[ṁ] saccarita[ṁ] kr̥taṁ nr̥patinā tenātidharmmārtthinā</w:t>
      </w:r>
      <w:r>
        <w:br/>
      </w:r>
      <w:r>
        <w:rPr>
          <w:rStyle w:val="ColorGray"/>
        </w:rPr>
        <w:t xml:space="preserve">⟨Column b⟩</w:t>
      </w:r>
      <w:r>
        <w:rPr>
          <w:rStyle w:val="ColorGray"/>
        </w:rPr>
        <w:t xml:space="preserve"> </w:t>
      </w:r>
      <w:r>
        <w:t xml:space="preserve">[–––] ś cari [–] nisargga [⏑] bale ci [⏑–––⏑–]</w:t>
      </w:r>
      <w:r>
        <w:br/>
      </w:r>
      <w:r>
        <w:rPr>
          <w:rStyle w:val="ColorGray"/>
        </w:rPr>
        <w:t xml:space="preserve">⟨8⟩</w:t>
      </w:r>
      <w:r>
        <w:rPr>
          <w:rStyle w:val="ColorGray"/>
        </w:rPr>
        <w:t xml:space="preserve"> </w:t>
      </w:r>
      <w:r>
        <w:rPr>
          <w:rStyle w:val="ColorGray"/>
        </w:rPr>
        <w:t xml:space="preserve"> </w:t>
      </w:r>
      <w:r>
        <w:rPr>
          <w:rStyle w:val="ColorGray"/>
        </w:rPr>
        <w:t xml:space="preserve">⟨Column c⟩</w:t>
      </w:r>
      <w:r>
        <w:rPr>
          <w:rStyle w:val="ColorGray"/>
        </w:rPr>
        <w:t xml:space="preserve"> </w:t>
      </w:r>
      <w:r>
        <w:t xml:space="preserve">lokānugrahasādhanaṁ prati na ca kṣatravrataṁ khaṇḍita</w:t>
      </w:r>
      <w:r>
        <w:rPr>
          <w:rStyle w:val="ColorGray"/>
        </w:rPr>
        <w:t xml:space="preserve">⟨Column d⟩</w:t>
      </w:r>
      <w:r>
        <w:t xml:space="preserve">m</w:t>
      </w:r>
      <w:r>
        <w:br/>
      </w:r>
      <w:r>
        <w:t xml:space="preserve">medhādhāya hi mā [⏑–⏑⏑⏑–––⏑––⏑] (k/ce)e</w:t>
      </w:r>
    </w:p>
    <w:p>
      <w:pPr>
        <w:pStyle w:val="BodyText"/>
      </w:pPr>
      <w:r>
        <w:t xml:space="preserve">5.</w:t>
      </w:r>
      <w:r>
        <w:t xml:space="preserve"> </w:t>
      </w:r>
      <w:hyperlink r:id="rId12">
        <w:r>
          <w:rPr>
            <w:rStyle w:val="Hyperlink"/>
          </w:rPr>
          <w:t xml:space="preserve">Śārdūlavikrīḍita</w:t>
        </w:r>
      </w:hyperlink>
    </w:p>
    <w:p>
      <w:pPr>
        <w:pStyle w:val="BodyText"/>
      </w:pPr>
      <w:r>
        <w:rPr>
          <w:rStyle w:val="ColorGray"/>
        </w:rPr>
        <w:t xml:space="preserve">⟨9⟩</w:t>
      </w:r>
      <w:r>
        <w:rPr>
          <w:rStyle w:val="ColorGray"/>
        </w:rPr>
        <w:t xml:space="preserve"> </w:t>
      </w:r>
      <w:r>
        <w:rPr>
          <w:rStyle w:val="ColorGray"/>
        </w:rPr>
        <w:t xml:space="preserve"> </w:t>
      </w:r>
      <w:r>
        <w:rPr>
          <w:rStyle w:val="ColorGray"/>
        </w:rPr>
        <w:t xml:space="preserve">⟨Column a⟩</w:t>
      </w:r>
      <w:r>
        <w:rPr>
          <w:rStyle w:val="ColorGray"/>
        </w:rPr>
        <w:t xml:space="preserve"> </w:t>
      </w:r>
      <w:r>
        <w:t xml:space="preserve">tatpitrā jayavarmmaṇā nr̥patinādhyakṣo dhanānāṁ kr̥ta</w:t>
      </w:r>
      <w:r>
        <w:rPr>
          <w:rStyle w:val="ColorGray"/>
        </w:rPr>
        <w:t xml:space="preserve">⟨Column b⟩</w:t>
      </w:r>
      <w:r>
        <w:t xml:space="preserve">ś</w:t>
      </w:r>
      <w:r>
        <w:br/>
      </w:r>
      <w:r>
        <w:t xml:space="preserve">śrirudrāhva [⏑–⏑] pi [⏑⏑⏑–––⏑––⏑–]</w:t>
      </w:r>
      <w:r>
        <w:br/>
      </w:r>
      <w:r>
        <w:rPr>
          <w:rStyle w:val="ColorGray"/>
        </w:rPr>
        <w:t xml:space="preserve">⟨10⟩</w:t>
      </w:r>
      <w:r>
        <w:rPr>
          <w:rStyle w:val="ColorGray"/>
        </w:rPr>
        <w:t xml:space="preserve"> </w:t>
      </w:r>
      <w:r>
        <w:rPr>
          <w:rStyle w:val="ColorGray"/>
        </w:rPr>
        <w:t xml:space="preserve"> </w:t>
      </w:r>
      <w:r>
        <w:rPr>
          <w:rStyle w:val="ColorGray"/>
        </w:rPr>
        <w:t xml:space="preserve">⟨Column c⟩</w:t>
      </w:r>
      <w:r>
        <w:rPr>
          <w:rStyle w:val="ColorGray"/>
        </w:rPr>
        <w:t xml:space="preserve"> </w:t>
      </w:r>
      <w:r>
        <w:t xml:space="preserve">viprasya dvijanāyakasya tanayaś śrīdehamātro dite</w:t>
      </w:r>
      <w:r>
        <w:rPr>
          <w:rStyle w:val="ColorGray"/>
        </w:rPr>
        <w:t xml:space="preserve"> </w:t>
      </w:r>
      <w:r>
        <w:rPr>
          <w:rStyle w:val="ColorGray"/>
        </w:rPr>
        <w:t xml:space="preserve">⟨Column d⟩</w:t>
      </w:r>
      <w:r>
        <w:rPr>
          <w:rStyle w:val="ColorGray"/>
        </w:rPr>
        <w:t xml:space="preserve"> </w:t>
      </w:r>
      <w:r>
        <w:t xml:space="preserve">s</w:t>
      </w:r>
      <w:r>
        <w:br/>
      </w:r>
      <w:r>
        <w:t xml:space="preserve">sadvartmānani [–⏑–⏑⏑⏑–––⏑––⏑–]</w:t>
      </w:r>
    </w:p>
    <w:p>
      <w:pPr>
        <w:pStyle w:val="BodyText"/>
      </w:pPr>
      <w:r>
        <w:t xml:space="preserve">6.</w:t>
      </w:r>
      <w:r>
        <w:t xml:space="preserve"> </w:t>
      </w:r>
      <w:hyperlink r:id="rId12">
        <w:r>
          <w:rPr>
            <w:rStyle w:val="Hyperlink"/>
          </w:rPr>
          <w:t xml:space="preserve">Śārdūlavikrīḍita</w:t>
        </w:r>
      </w:hyperlink>
    </w:p>
    <w:p>
      <w:pPr>
        <w:pStyle w:val="BodyText"/>
      </w:pPr>
      <w:r>
        <w:rPr>
          <w:rStyle w:val="ColorGray"/>
        </w:rPr>
        <w:t xml:space="preserve">⟨11⟩</w:t>
      </w:r>
      <w:r>
        <w:rPr>
          <w:rStyle w:val="ColorGray"/>
        </w:rPr>
        <w:t xml:space="preserve"> </w:t>
      </w:r>
      <w:r>
        <w:rPr>
          <w:rStyle w:val="ColorGray"/>
        </w:rPr>
        <w:t xml:space="preserve"> </w:t>
      </w:r>
      <w:r>
        <w:rPr>
          <w:rStyle w:val="ColorGray"/>
        </w:rPr>
        <w:t xml:space="preserve">⟨Column a⟩</w:t>
      </w:r>
      <w:r>
        <w:rPr>
          <w:rStyle w:val="ColorGray"/>
        </w:rPr>
        <w:t xml:space="preserve"> </w:t>
      </w:r>
      <w:r>
        <w:t xml:space="preserve">buddhadharmmam athāryyasaṅgham akhilais svais svair guṇais saṅgataṁ</w:t>
      </w:r>
      <w:r>
        <w:br/>
      </w:r>
      <w:r>
        <w:rPr>
          <w:rStyle w:val="ColorGray"/>
        </w:rPr>
        <w:t xml:space="preserve">⟨Column b⟩</w:t>
      </w:r>
      <w:r>
        <w:rPr>
          <w:rStyle w:val="ColorGray"/>
        </w:rPr>
        <w:t xml:space="preserve"> </w:t>
      </w:r>
      <w:r>
        <w:t xml:space="preserve">yaś śresthaṁ śa [⏑–⏑–⏑⏑⏑–––⏑––⏑–]</w:t>
      </w:r>
      <w:r>
        <w:br/>
      </w:r>
      <w:r>
        <w:rPr>
          <w:rStyle w:val="ColorGray"/>
        </w:rPr>
        <w:t xml:space="preserve">⟨12⟩</w:t>
      </w:r>
      <w:r>
        <w:rPr>
          <w:rStyle w:val="ColorGray"/>
        </w:rPr>
        <w:t xml:space="preserve"> </w:t>
      </w:r>
      <w:r>
        <w:rPr>
          <w:rStyle w:val="ColorGray"/>
        </w:rPr>
        <w:t xml:space="preserve"> </w:t>
      </w:r>
      <w:r>
        <w:rPr>
          <w:rStyle w:val="ColorGray"/>
        </w:rPr>
        <w:t xml:space="preserve">⟨Column c⟩</w:t>
      </w:r>
      <w:r>
        <w:rPr>
          <w:rStyle w:val="ColorGray"/>
        </w:rPr>
        <w:t xml:space="preserve"> </w:t>
      </w:r>
      <w:r>
        <w:t xml:space="preserve">yaś copāsakakarmma sarvvam akarot pāpān nivr̥tta [⏑–]</w:t>
      </w:r>
      <w:r>
        <w:br/>
      </w:r>
      <w:r>
        <w:rPr>
          <w:rStyle w:val="ColorGray"/>
        </w:rPr>
        <w:t xml:space="preserve">⟨Column d⟩</w:t>
      </w:r>
      <w:r>
        <w:rPr>
          <w:rStyle w:val="ColorGray"/>
        </w:rPr>
        <w:t xml:space="preserve"> </w:t>
      </w:r>
      <w:r>
        <w:t xml:space="preserve">[2+] no vi[⏑–⏑–⏑⏑⏑–––⏑––⏑–]</w:t>
      </w:r>
    </w:p>
    <w:p>
      <w:pPr>
        <w:pStyle w:val="BodyText"/>
      </w:pPr>
      <w:r>
        <w:t xml:space="preserve">7.</w:t>
      </w:r>
      <w:r>
        <w:t xml:space="preserve"> </w:t>
      </w:r>
      <w:hyperlink r:id="rId12">
        <w:r>
          <w:rPr>
            <w:rStyle w:val="Hyperlink"/>
          </w:rPr>
          <w:t xml:space="preserve">Śārdūlavikrīḍita</w:t>
        </w:r>
      </w:hyperlink>
    </w:p>
    <w:p>
      <w:pPr>
        <w:pStyle w:val="BodyText"/>
      </w:pPr>
      <w:r>
        <w:rPr>
          <w:rStyle w:val="ColorGray"/>
        </w:rPr>
        <w:t xml:space="preserve">⟨13⟩</w:t>
      </w:r>
      <w:r>
        <w:rPr>
          <w:rStyle w:val="ColorGray"/>
        </w:rPr>
        <w:t xml:space="preserve"> </w:t>
      </w:r>
      <w:r>
        <w:rPr>
          <w:rStyle w:val="ColorGray"/>
        </w:rPr>
        <w:t xml:space="preserve"> </w:t>
      </w:r>
      <w:r>
        <w:rPr>
          <w:rStyle w:val="ColorGray"/>
        </w:rPr>
        <w:t xml:space="preserve">⟨Column a⟩</w:t>
      </w:r>
      <w:r>
        <w:rPr>
          <w:rStyle w:val="ColorGray"/>
        </w:rPr>
        <w:t xml:space="preserve"> </w:t>
      </w:r>
      <w:r>
        <w:t xml:space="preserve">Ādhāraḫ payasām ivākhilajalaiḫ puṇyair a[––⏑–]</w:t>
      </w:r>
      <w:r>
        <w:br/>
      </w:r>
      <w:r>
        <w:rPr>
          <w:rStyle w:val="ColorGray"/>
        </w:rPr>
        <w:t xml:space="preserve">⟨Column b⟩</w:t>
      </w:r>
      <w:r>
        <w:rPr>
          <w:rStyle w:val="ColorGray"/>
        </w:rPr>
        <w:t xml:space="preserve"> </w:t>
      </w:r>
      <w:r>
        <w:t xml:space="preserve">sarvvaṁ kāma [⏑–⏑–⏑⏑⏑–––⏑––⏑–]</w:t>
      </w:r>
      <w:r>
        <w:br/>
      </w:r>
      <w:r>
        <w:rPr>
          <w:rStyle w:val="ColorGray"/>
        </w:rPr>
        <w:t xml:space="preserve">⟨14⟩</w:t>
      </w:r>
      <w:r>
        <w:rPr>
          <w:rStyle w:val="ColorGray"/>
        </w:rPr>
        <w:t xml:space="preserve"> </w:t>
      </w:r>
      <w:r>
        <w:rPr>
          <w:rStyle w:val="ColorGray"/>
        </w:rPr>
        <w:t xml:space="preserve"> </w:t>
      </w:r>
      <w:r>
        <w:rPr>
          <w:rStyle w:val="ColorGray"/>
        </w:rPr>
        <w:t xml:space="preserve">⟨Column c⟩</w:t>
      </w:r>
      <w:r>
        <w:rPr>
          <w:rStyle w:val="ColorGray"/>
        </w:rPr>
        <w:t xml:space="preserve"> </w:t>
      </w:r>
      <w:r>
        <w:t xml:space="preserve">yaś cābhūt kuśalakriyāsu sakalās svādānadā [.]ya [2+]</w:t>
      </w:r>
      <w:r>
        <w:br/>
      </w:r>
      <w:r>
        <w:rPr>
          <w:rStyle w:val="ColorGray"/>
        </w:rPr>
        <w:t xml:space="preserve">⟨Column d⟩</w:t>
      </w:r>
      <w:r>
        <w:rPr>
          <w:rStyle w:val="ColorGray"/>
        </w:rPr>
        <w:t xml:space="preserve"> </w:t>
      </w:r>
      <w:r>
        <w:t xml:space="preserve">[–––⏑⏑–⏑–⏑⏑⏑–––⏑––⏑–]</w:t>
      </w:r>
    </w:p>
    <w:p>
      <w:pPr>
        <w:pStyle w:val="BodyText"/>
      </w:pPr>
      <w:r>
        <w:t xml:space="preserve">8.</w:t>
      </w:r>
      <w:r>
        <w:t xml:space="preserve"> </w:t>
      </w:r>
      <w:hyperlink r:id="rId12">
        <w:r>
          <w:rPr>
            <w:rStyle w:val="Hyperlink"/>
          </w:rPr>
          <w:t xml:space="preserve">Śārdūlavikrīḍita</w:t>
        </w:r>
      </w:hyperlink>
    </w:p>
    <w:p>
      <w:pPr>
        <w:pStyle w:val="BodyText"/>
      </w:pPr>
      <w:r>
        <w:rPr>
          <w:rStyle w:val="ColorGray"/>
        </w:rPr>
        <w:t xml:space="preserve">⟨15⟩</w:t>
      </w:r>
      <w:r>
        <w:rPr>
          <w:rStyle w:val="ColorGray"/>
        </w:rPr>
        <w:t xml:space="preserve"> </w:t>
      </w:r>
      <w:r>
        <w:rPr>
          <w:rStyle w:val="ColorGray"/>
        </w:rPr>
        <w:t xml:space="preserve"> </w:t>
      </w:r>
      <w:r>
        <w:rPr>
          <w:rStyle w:val="ColorGray"/>
        </w:rPr>
        <w:t xml:space="preserve">⟨Column a⟩</w:t>
      </w:r>
      <w:r>
        <w:rPr>
          <w:rStyle w:val="ColorGray"/>
        </w:rPr>
        <w:t xml:space="preserve"> </w:t>
      </w:r>
      <w:r>
        <w:t xml:space="preserve">tasyāśeṣaviśeṣaṇaikanilayasyājanmano nu [⏑] te</w:t>
      </w:r>
      <w:r>
        <w:br/>
      </w:r>
      <w:r>
        <w:rPr>
          <w:rStyle w:val="ColorGray"/>
        </w:rPr>
        <w:t xml:space="preserve">⟨Column b⟩</w:t>
      </w:r>
      <w:r>
        <w:rPr>
          <w:rStyle w:val="ColorGray"/>
        </w:rPr>
        <w:t xml:space="preserve"> </w:t>
      </w:r>
      <w:r>
        <w:t xml:space="preserve">bhāryyāryyā sadr̥śi [⏑–⏑⏑⏑–––⏑––⏑–]</w:t>
      </w:r>
      <w:r>
        <w:br/>
      </w:r>
      <w:r>
        <w:rPr>
          <w:rStyle w:val="ColorGray"/>
        </w:rPr>
        <w:t xml:space="preserve">⟨16⟩</w:t>
      </w:r>
      <w:r>
        <w:rPr>
          <w:rStyle w:val="ColorGray"/>
        </w:rPr>
        <w:t xml:space="preserve"> </w:t>
      </w:r>
      <w:r>
        <w:rPr>
          <w:rStyle w:val="ColorGray"/>
        </w:rPr>
        <w:t xml:space="preserve"> </w:t>
      </w:r>
      <w:r>
        <w:rPr>
          <w:rStyle w:val="ColorGray"/>
        </w:rPr>
        <w:t xml:space="preserve">⟨Column c⟩</w:t>
      </w:r>
      <w:r>
        <w:rPr>
          <w:rStyle w:val="ColorGray"/>
        </w:rPr>
        <w:t xml:space="preserve"> </w:t>
      </w:r>
      <w:r>
        <w:t xml:space="preserve">Akleśāt suṣu[–⏑] sā duhitaraṁ siddhiṁ kriyevottamā</w:t>
      </w:r>
      <w:r>
        <w:br/>
      </w:r>
      <w:r>
        <w:rPr>
          <w:rStyle w:val="ColorGray"/>
        </w:rPr>
        <w:t xml:space="preserve">⟨Column d⟩</w:t>
      </w:r>
      <w:r>
        <w:rPr>
          <w:rStyle w:val="ColorGray"/>
        </w:rPr>
        <w:t xml:space="preserve"> </w:t>
      </w:r>
      <w:r>
        <w:t xml:space="preserve">[–––⏑⏑–⏑–⏑⏑⏑–––⏑––⏑–]</w:t>
      </w:r>
    </w:p>
    <w:p>
      <w:pPr>
        <w:pStyle w:val="BodyText"/>
      </w:pPr>
      <w:r>
        <w:t xml:space="preserve">9.</w:t>
      </w:r>
      <w:r>
        <w:t xml:space="preserve"> </w:t>
      </w:r>
      <w:hyperlink r:id="rId12">
        <w:r>
          <w:rPr>
            <w:rStyle w:val="Hyperlink"/>
          </w:rPr>
          <w:t xml:space="preserve">Śārdūlavikrīḍita</w:t>
        </w:r>
      </w:hyperlink>
    </w:p>
    <w:p>
      <w:pPr>
        <w:pStyle w:val="BodyText"/>
      </w:pPr>
      <w:r>
        <w:rPr>
          <w:rStyle w:val="ColorGray"/>
        </w:rPr>
        <w:t xml:space="preserve">⟨17⟩</w:t>
      </w:r>
      <w:r>
        <w:rPr>
          <w:rStyle w:val="ColorGray"/>
        </w:rPr>
        <w:t xml:space="preserve"> </w:t>
      </w:r>
      <w:r>
        <w:rPr>
          <w:rStyle w:val="ColorGray"/>
        </w:rPr>
        <w:t xml:space="preserve"> </w:t>
      </w:r>
      <w:r>
        <w:rPr>
          <w:rStyle w:val="ColorGray"/>
        </w:rPr>
        <w:t xml:space="preserve">⟨Column a⟩</w:t>
      </w:r>
      <w:r>
        <w:rPr>
          <w:rStyle w:val="ColorGray"/>
        </w:rPr>
        <w:t xml:space="preserve"> </w:t>
      </w:r>
      <w:r>
        <w:t xml:space="preserve">Ācārān ativarttinī svatanayāṁ tantūpra [––⏑–]</w:t>
      </w:r>
      <w:r>
        <w:br/>
      </w:r>
      <w:r>
        <w:rPr>
          <w:rStyle w:val="ColorGray"/>
        </w:rPr>
        <w:t xml:space="preserve">⟨Column b⟩</w:t>
      </w:r>
      <w:r>
        <w:rPr>
          <w:rStyle w:val="ColorGray"/>
        </w:rPr>
        <w:t xml:space="preserve"> </w:t>
      </w:r>
      <w:r>
        <w:t xml:space="preserve">[–––⏑⏑–⏑–⏑⏑⏑–––⏑––⏑–]</w:t>
      </w:r>
      <w:r>
        <w:br/>
      </w:r>
      <w:r>
        <w:rPr>
          <w:rStyle w:val="ColorGray"/>
        </w:rPr>
        <w:t xml:space="preserve">⟨18⟩</w:t>
      </w:r>
      <w:r>
        <w:rPr>
          <w:rStyle w:val="ColorGray"/>
        </w:rPr>
        <w:t xml:space="preserve"> </w:t>
      </w:r>
      <w:r>
        <w:rPr>
          <w:rStyle w:val="ColorGray"/>
        </w:rPr>
        <w:t xml:space="preserve"> </w:t>
      </w:r>
      <w:r>
        <w:rPr>
          <w:rStyle w:val="ColorGray"/>
        </w:rPr>
        <w:t xml:space="preserve">⟨Column c⟩</w:t>
      </w:r>
      <w:r>
        <w:rPr>
          <w:rStyle w:val="ColorGray"/>
        </w:rPr>
        <w:t xml:space="preserve"> </w:t>
      </w:r>
      <w:r>
        <w:t xml:space="preserve">[–––⏑⏑–⏑] man nirupamaṁ varṇṇottamaṁ prā [⏑–]</w:t>
      </w:r>
      <w:r>
        <w:br/>
      </w:r>
      <w:r>
        <w:rPr>
          <w:rStyle w:val="ColorGray"/>
        </w:rPr>
        <w:t xml:space="preserve">⟨Column d⟩</w:t>
      </w:r>
      <w:r>
        <w:rPr>
          <w:rStyle w:val="ColorGray"/>
        </w:rPr>
        <w:t xml:space="preserve"> </w:t>
      </w:r>
      <w:r>
        <w:t xml:space="preserve">[–––⏑⏑–⏑–⏑⏑⏑–––⏑––⏑–]</w:t>
      </w:r>
    </w:p>
    <w:p>
      <w:pPr>
        <w:pStyle w:val="BodyText"/>
      </w:pPr>
      <w:r>
        <w:t xml:space="preserve">10.</w:t>
      </w:r>
      <w:r>
        <w:t xml:space="preserve"> </w:t>
      </w:r>
      <w:hyperlink r:id="rId12">
        <w:r>
          <w:rPr>
            <w:rStyle w:val="Hyperlink"/>
          </w:rPr>
          <w:t xml:space="preserve">Śārdūlavikrīḍita</w:t>
        </w:r>
      </w:hyperlink>
    </w:p>
    <w:p>
      <w:pPr>
        <w:pStyle w:val="BodyText"/>
      </w:pPr>
      <w:r>
        <w:rPr>
          <w:rStyle w:val="ColorGray"/>
        </w:rPr>
        <w:t xml:space="preserve">⟨19⟩</w:t>
      </w:r>
      <w:r>
        <w:rPr>
          <w:rStyle w:val="ColorGray"/>
        </w:rPr>
        <w:t xml:space="preserve"> </w:t>
      </w:r>
      <w:r>
        <w:rPr>
          <w:rStyle w:val="ColorGray"/>
        </w:rPr>
        <w:t xml:space="preserve"> </w:t>
      </w:r>
      <w:r>
        <w:rPr>
          <w:rStyle w:val="ColorGray"/>
        </w:rPr>
        <w:t xml:space="preserve">⟨Column a⟩</w:t>
      </w:r>
      <w:r>
        <w:rPr>
          <w:rStyle w:val="ColorGray"/>
        </w:rPr>
        <w:t xml:space="preserve"> </w:t>
      </w:r>
      <w:r>
        <w:t xml:space="preserve">kovidvān dvijasa [⏑] me [⏑⏑] lav[.]āsya ṣ[.] [⏑––⏑–]</w:t>
      </w:r>
      <w:r>
        <w:br/>
      </w:r>
      <w:r>
        <w:rPr>
          <w:rStyle w:val="ColorGray"/>
        </w:rPr>
        <w:t xml:space="preserve">⟨Column b⟩</w:t>
      </w:r>
      <w:r>
        <w:rPr>
          <w:rStyle w:val="ColorGray"/>
        </w:rPr>
        <w:t xml:space="preserve"> </w:t>
      </w:r>
      <w:r>
        <w:t xml:space="preserve">[–––⏑⏑–⏑–⏑⏑⏑–––⏑––⏑–]</w:t>
      </w:r>
      <w:r>
        <w:br/>
      </w:r>
      <w:r>
        <w:rPr>
          <w:rStyle w:val="ColorGray"/>
        </w:rPr>
        <w:t xml:space="preserve">⟨20⟩</w:t>
      </w:r>
      <w:r>
        <w:rPr>
          <w:rStyle w:val="ColorGray"/>
        </w:rPr>
        <w:t xml:space="preserve"> </w:t>
      </w:r>
      <w:r>
        <w:rPr>
          <w:rStyle w:val="ColorGray"/>
        </w:rPr>
        <w:t xml:space="preserve"> </w:t>
      </w:r>
      <w:r>
        <w:rPr>
          <w:rStyle w:val="ColorGray"/>
        </w:rPr>
        <w:t xml:space="preserve">⟨Column c⟩</w:t>
      </w:r>
      <w:r>
        <w:rPr>
          <w:rStyle w:val="ColorGray"/>
        </w:rPr>
        <w:t xml:space="preserve"> </w:t>
      </w:r>
      <w:r>
        <w:t xml:space="preserve">Ity evaṁ dvijamaṇḍale suba[⏑–––⏑––⏑–]</w:t>
      </w:r>
      <w:r>
        <w:br/>
      </w:r>
      <w:r>
        <w:rPr>
          <w:rStyle w:val="ColorGray"/>
        </w:rPr>
        <w:t xml:space="preserve">⟨Column d⟩</w:t>
      </w:r>
      <w:r>
        <w:rPr>
          <w:rStyle w:val="ColorGray"/>
        </w:rPr>
        <w:t xml:space="preserve"> </w:t>
      </w:r>
      <w:r>
        <w:t xml:space="preserve">[–––⏑⏑–⏑–⏑⏑⏑–––⏑––⏑–]</w:t>
      </w:r>
    </w:p>
    <w:p>
      <w:pPr>
        <w:pStyle w:val="BodyText"/>
      </w:pPr>
      <w:r>
        <w:t xml:space="preserve">11.</w:t>
      </w:r>
      <w:r>
        <w:t xml:space="preserve"> </w:t>
      </w:r>
      <w:hyperlink r:id="rId12">
        <w:r>
          <w:rPr>
            <w:rStyle w:val="Hyperlink"/>
          </w:rPr>
          <w:t xml:space="preserve">Śārdūlavikrīḍita</w:t>
        </w:r>
      </w:hyperlink>
    </w:p>
    <w:p>
      <w:pPr>
        <w:pStyle w:val="BodyText"/>
      </w:pPr>
      <w:r>
        <w:rPr>
          <w:rStyle w:val="ColorGray"/>
        </w:rPr>
        <w:t xml:space="preserve">⟨21⟩</w:t>
      </w:r>
      <w:r>
        <w:rPr>
          <w:rStyle w:val="ColorGray"/>
        </w:rPr>
        <w:t xml:space="preserve"> </w:t>
      </w:r>
      <w:r>
        <w:rPr>
          <w:rStyle w:val="ColorGray"/>
        </w:rPr>
        <w:t xml:space="preserve"> </w:t>
      </w:r>
      <w:r>
        <w:rPr>
          <w:rStyle w:val="ColorGray"/>
        </w:rPr>
        <w:t xml:space="preserve">⟨Column a⟩</w:t>
      </w:r>
      <w:r>
        <w:rPr>
          <w:rStyle w:val="ColorGray"/>
        </w:rPr>
        <w:t xml:space="preserve"> </w:t>
      </w:r>
      <w:r>
        <w:t xml:space="preserve">ṣaṭkarmmanya [⏑–⏑–⏑⏑⏑–––⏑––⏑–]</w:t>
      </w:r>
      <w:r>
        <w:br/>
      </w:r>
      <w:r>
        <w:rPr>
          <w:rStyle w:val="ColorGray"/>
        </w:rPr>
        <w:t xml:space="preserve">⟨Column b⟩</w:t>
      </w:r>
      <w:r>
        <w:rPr>
          <w:rStyle w:val="ColorGray"/>
        </w:rPr>
        <w:t xml:space="preserve"> </w:t>
      </w:r>
      <w:r>
        <w:t xml:space="preserve">[–––⏑⏑–⏑–⏑⏑⏑–––⏑––⏑–]</w:t>
      </w:r>
      <w:r>
        <w:br/>
      </w:r>
      <w:r>
        <w:rPr>
          <w:rStyle w:val="ColorGray"/>
        </w:rPr>
        <w:t xml:space="preserve">⟨22⟩</w:t>
      </w:r>
      <w:r>
        <w:rPr>
          <w:rStyle w:val="ColorGray"/>
        </w:rPr>
        <w:t xml:space="preserve"> </w:t>
      </w:r>
      <w:r>
        <w:rPr>
          <w:rStyle w:val="ColorGray"/>
        </w:rPr>
        <w:t xml:space="preserve"> </w:t>
      </w:r>
      <w:r>
        <w:rPr>
          <w:rStyle w:val="ColorGray"/>
        </w:rPr>
        <w:t xml:space="preserve">⟨Column c⟩</w:t>
      </w:r>
      <w:r>
        <w:rPr>
          <w:rStyle w:val="ColorGray"/>
        </w:rPr>
        <w:t xml:space="preserve"> </w:t>
      </w:r>
      <w:r>
        <w:t xml:space="preserve">te [.]ai [–⏑⏑–] divijasya [.]i [⏑–––]sya dharmmātma[–] _</w:t>
      </w:r>
      <w:r>
        <w:br/>
      </w:r>
      <w:r>
        <w:rPr>
          <w:rStyle w:val="ColorGray"/>
        </w:rPr>
        <w:t xml:space="preserve">⟨Column d⟩</w:t>
      </w:r>
      <w:r>
        <w:rPr>
          <w:rStyle w:val="ColorGray"/>
        </w:rPr>
        <w:t xml:space="preserve"> </w:t>
      </w:r>
      <w:r>
        <w:t xml:space="preserve">[–––⏑⏑–⏑–⏑⏑⏑–––⏑––⏑–]</w:t>
      </w:r>
    </w:p>
    <w:p>
      <w:pPr>
        <w:pStyle w:val="Heading1"/>
      </w:pPr>
      <w:r>
        <w:t xml:space="preserve">Translation into French by Cœdès 1931</w:t>
      </w:r>
    </w:p>
    <w:p>
      <w:pPr>
        <w:pStyle w:val="FirstParagraph"/>
      </w:pPr>
      <w:r>
        <w:t xml:space="preserve">1.</w:t>
      </w:r>
    </w:p>
    <w:p>
      <w:pPr>
        <w:pStyle w:val="BodyText"/>
      </w:pPr>
      <w:r>
        <w:t xml:space="preserve">Victorieux est Celui qui a vaincu cet ennemi que sont toutes les passions avec leurs traces, Celui dont la saison ne connaît pas d’obstacle, qui a obtenu (la perfection) en toutes choses, le Jina dont l’esprit est compatissant et tourné vers le bonheur d’autrui, dont la gloire immense et sans tache est répandue dans les régions de l’espace.</w:t>
      </w:r>
    </w:p>
    <w:p>
      <w:pPr>
        <w:pStyle w:val="BodyText"/>
      </w:pPr>
      <w:r>
        <w:t xml:space="preserve">2.</w:t>
      </w:r>
    </w:p>
    <w:p>
      <w:pPr>
        <w:pStyle w:val="BodyText"/>
      </w:pPr>
      <w:r>
        <w:t xml:space="preserve">Après avoir sauvé le monde tombé dans l’océan des trois conditions d’existence, et atteint le sol imperceptible, sublime, incomparable du Nirvāṇa […] ce Maître dont les saints reliques, laissées en vue de la production du bonheur des créatures, causent encore aujourd’hui le bonheur d’autrui […]</w:t>
      </w:r>
    </w:p>
    <w:p>
      <w:pPr>
        <w:pStyle w:val="BodyText"/>
      </w:pPr>
      <w:r>
        <w:t xml:space="preserve">3.</w:t>
      </w:r>
    </w:p>
    <w:p>
      <w:pPr>
        <w:pStyle w:val="BodyText"/>
      </w:pPr>
      <w:r>
        <w:t xml:space="preserve">(Le roi) qui, malgré sa supériorité, ne considère aucune vertu comme insignifiante, qui tel un joyau ornant la tête […] se tenir sur la tête des créatures, et s’efforce d’observer toutes les vertus royales réunies, ce Śrī Rudravarman a été véritablement créé unique sur la terre par le Créateur.</w:t>
      </w:r>
    </w:p>
    <w:p>
      <w:pPr>
        <w:pStyle w:val="BodyText"/>
      </w:pPr>
      <w:r>
        <w:t xml:space="preserve">4.</w:t>
      </w:r>
    </w:p>
    <w:p>
      <w:pPr>
        <w:pStyle w:val="BodyText"/>
      </w:pPr>
      <w:r>
        <w:t xml:space="preserve">Tout le bien fait par ce roi extrêmement dévoué au dharma […] en vue de réaliser ses bonnes dispositions envers le monde, et non pas (en vue de réaliser) les devoirs du</w:t>
      </w:r>
      <w:r>
        <w:t xml:space="preserve"> </w:t>
      </w:r>
      <w:r>
        <w:rPr>
          <w:i/>
          <w:iCs/>
        </w:rPr>
        <w:t xml:space="preserve">kṣatriya</w:t>
      </w:r>
      <w:r>
        <w:t xml:space="preserve"> </w:t>
      </w:r>
      <w:r>
        <w:t xml:space="preserve">qui lui sont opposés […]</w:t>
      </w:r>
    </w:p>
    <w:p>
      <w:pPr>
        <w:pStyle w:val="BodyText"/>
      </w:pPr>
      <w:r>
        <w:t xml:space="preserve">5.</w:t>
      </w:r>
    </w:p>
    <w:p>
      <w:pPr>
        <w:pStyle w:val="BodyText"/>
      </w:pPr>
      <w:r>
        <w:t xml:space="preserve">Le père de ce (roi), le roi Jayavarman, nomma inspecteur des biens le fils d’un religieux chef des brâhmanes ...</w:t>
      </w:r>
    </w:p>
    <w:p>
      <w:pPr>
        <w:pStyle w:val="BodyText"/>
      </w:pPr>
      <w:r>
        <w:t xml:space="preserve">6.</w:t>
      </w:r>
    </w:p>
    <w:p>
      <w:pPr>
        <w:pStyle w:val="BodyText"/>
      </w:pPr>
      <w:r>
        <w:t xml:space="preserve">Il […] le Buddha, le Dharma, le Saṅgha, chacun avec toutes ses vertus, excellent […]; il accomplit toutes les actes d’un</w:t>
      </w:r>
      <w:r>
        <w:t xml:space="preserve"> </w:t>
      </w:r>
      <w:r>
        <w:rPr>
          <w:i/>
          <w:iCs/>
        </w:rPr>
        <w:t xml:space="preserve">upāsaka</w:t>
      </w:r>
      <w:r>
        <w:t xml:space="preserve">, exempt de péché […]</w:t>
      </w:r>
    </w:p>
    <w:p>
      <w:pPr>
        <w:pStyle w:val="BodyText"/>
      </w:pPr>
      <w:r>
        <w:t xml:space="preserve">7.</w:t>
      </w:r>
    </w:p>
    <w:p>
      <w:pPr>
        <w:pStyle w:val="BodyText"/>
      </w:pPr>
      <w:r>
        <w:t xml:space="preserve">[…]</w:t>
      </w:r>
    </w:p>
    <w:p>
      <w:pPr>
        <w:pStyle w:val="BodyText"/>
      </w:pPr>
      <w:r>
        <w:t xml:space="preserve">8.</w:t>
      </w:r>
    </w:p>
    <w:p>
      <w:pPr>
        <w:pStyle w:val="BodyText"/>
      </w:pPr>
      <w:r>
        <w:t xml:space="preserve">[…]</w:t>
      </w:r>
    </w:p>
    <w:p>
      <w:pPr>
        <w:pStyle w:val="BodyText"/>
      </w:pPr>
      <w:r>
        <w:t xml:space="preserve">9.</w:t>
      </w:r>
    </w:p>
    <w:p>
      <w:pPr>
        <w:pStyle w:val="BodyText"/>
      </w:pPr>
      <w:r>
        <w:t xml:space="preserve">[…]</w:t>
      </w:r>
    </w:p>
    <w:p>
      <w:pPr>
        <w:pStyle w:val="BodyText"/>
      </w:pPr>
      <w:r>
        <w:t xml:space="preserve">10.</w:t>
      </w:r>
    </w:p>
    <w:p>
      <w:pPr>
        <w:pStyle w:val="BodyText"/>
      </w:pPr>
      <w:r>
        <w:t xml:space="preserve">[…]</w:t>
      </w:r>
    </w:p>
    <w:p>
      <w:pPr>
        <w:pStyle w:val="BodyText"/>
      </w:pPr>
      <w:r>
        <w:t xml:space="preserve">11.</w:t>
      </w:r>
    </w:p>
    <w:p>
      <w:pPr>
        <w:pStyle w:val="BodyText"/>
      </w:pPr>
      <w:r>
        <w:t xml:space="preserve">[…]</w:t>
      </w:r>
    </w:p>
    <w:p>
      <w:pPr>
        <w:pStyle w:val="Heading1"/>
      </w:pPr>
      <w:r>
        <w:t xml:space="preserve">Commentary</w:t>
      </w:r>
    </w:p>
    <w:p>
      <w:pPr>
        <w:pStyle w:val="FirstParagraph"/>
      </w:pPr>
      <w:r>
        <w:t xml:space="preserve">There are traces of several lines after line 22.</w:t>
      </w:r>
    </w:p>
    <w:p>
      <w:pPr>
        <w:pStyle w:val="BodyText"/>
      </w:pPr>
      <w:r>
        <w:rPr>
          <w:rStyle w:val="ColorGray"/>
        </w:rPr>
        <w:t xml:space="preserve">⟨8⟩</w:t>
      </w:r>
      <w:r>
        <w:t xml:space="preserve"> </w:t>
      </w:r>
      <w:r>
        <w:t xml:space="preserve">The reading of</w:t>
      </w:r>
      <w:r>
        <w:t xml:space="preserve"> </w:t>
      </w:r>
      <w:r>
        <w:rPr>
          <w:i/>
          <w:iCs/>
        </w:rPr>
        <w:t xml:space="preserve">medhādhāya</w:t>
      </w:r>
      <w:r>
        <w:t xml:space="preserve"> </w:t>
      </w:r>
      <w:r>
        <w:t xml:space="preserve">is doubtful.</w:t>
      </w:r>
    </w:p>
    <w:p>
      <w:pPr>
        <w:pStyle w:val="Heading1"/>
      </w:pPr>
      <w:r>
        <w:t xml:space="preserve">Bibliography</w:t>
      </w:r>
    </w:p>
    <w:p>
      <w:pPr>
        <w:pStyle w:val="FirstParagraph"/>
      </w:pPr>
      <w:r>
        <w:t xml:space="preserve">First edited by George Cœdès (1931, pp. 9–11) with a French translation; re-edited here by Arlo Grifitths and Kunthea Chhom from estampage EFEO n. 314.</w:t>
      </w:r>
    </w:p>
    <w:p>
      <w:pPr>
        <w:pStyle w:val="Heading2"/>
      </w:pPr>
      <w:r>
        <w:t xml:space="preserve">Primary</w:t>
      </w:r>
    </w:p>
    <w:p>
      <w:pPr>
        <w:pStyle w:val="FirstParagraph"/>
      </w:pPr>
      <w:r>
        <w:rPr>
          <w:b/>
          <w:bCs/>
        </w:rPr>
        <w:t xml:space="preserve">[GC]</w:t>
      </w:r>
      <w:r>
        <w:t xml:space="preserve"> </w:t>
      </w:r>
      <w:r>
        <w:t xml:space="preserve">Cœdès, George. 1931. “Études cambodgiennes, XXV: Deux inscriptions sanskrites du Fou-nan; XXVI: La date de Kòḥ Ker; XXVII: La date du Bàphûon.” BEFEO 31 (1-2), pp. 1–23. DOI:</w:t>
      </w:r>
      <w:r>
        <w:t xml:space="preserve"> </w:t>
      </w:r>
      <w:hyperlink r:id="rId13">
        <w:r>
          <w:rPr>
            <w:rStyle w:val="Hyperlink"/>
          </w:rPr>
          <w:t xml:space="preserve">10.3406/befeo.1931.4415</w:t>
        </w:r>
      </w:hyperlink>
      <w:r>
        <w:t xml:space="preserve">.</w:t>
      </w:r>
      <w:r>
        <w:t xml:space="preserve"> </w:t>
      </w:r>
      <w:hyperlink r:id="rId14">
        <w:r>
          <w:rPr>
            <w:rStyle w:val="Hyperlink"/>
          </w:rPr>
          <w:t xml:space="preserve">[URL]</w:t>
        </w:r>
      </w:hyperlink>
      <w:r>
        <w:t xml:space="preserve">. Pages 9–11.</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4" Target="http://www.persee.fr/web/revues/home/prescript/article/befeo_0336-1519_1931_num_31_1_4415" TargetMode="External" /><Relationship Type="http://schemas.openxmlformats.org/officeDocument/2006/relationships/hyperlink" Id="rId11" Target="https://dharmalekha.info/prosody#prosody-104" TargetMode="External" /><Relationship Type="http://schemas.openxmlformats.org/officeDocument/2006/relationships/hyperlink" Id="rId12" Target="https://dharmalekha.info/prosody#prosody-115" TargetMode="External" /><Relationship Type="http://schemas.openxmlformats.org/officeDocument/2006/relationships/hyperlink" Id="rId9" Target="https://dharmalekha.info/texts/INSCIK01270" TargetMode="External" /><Relationship Type="http://schemas.openxmlformats.org/officeDocument/2006/relationships/hyperlink" Id="rId10" Target="https://dharmalekha.info/texts/INSCIK01515" TargetMode="External" /><Relationship Type="http://schemas.openxmlformats.org/officeDocument/2006/relationships/hyperlink" Id="rId13" Target="https://doi.org/10.3406/befeo.1931.4415" TargetMode="External" /></Relationships>
</file>

<file path=word/_rels/footnotes.xml.rels><?xml version="1.0" encoding="UTF-8"?><Relationships xmlns="http://schemas.openxmlformats.org/package/2006/relationships"><Relationship Type="http://schemas.openxmlformats.org/officeDocument/2006/relationships/hyperlink" Id="rId14" Target="http://www.persee.fr/web/revues/home/prescript/article/befeo_0336-1519_1931_num_31_1_4415" TargetMode="External" /><Relationship Type="http://schemas.openxmlformats.org/officeDocument/2006/relationships/hyperlink" Id="rId11" Target="https://dharmalekha.info/prosody#prosody-104" TargetMode="External" /><Relationship Type="http://schemas.openxmlformats.org/officeDocument/2006/relationships/hyperlink" Id="rId12" Target="https://dharmalekha.info/prosody#prosody-115" TargetMode="External" /><Relationship Type="http://schemas.openxmlformats.org/officeDocument/2006/relationships/hyperlink" Id="rId9" Target="https://dharmalekha.info/texts/INSCIK01270" TargetMode="External" /><Relationship Type="http://schemas.openxmlformats.org/officeDocument/2006/relationships/hyperlink" Id="rId10" Target="https://dharmalekha.info/texts/INSCIK01515" TargetMode="External" /><Relationship Type="http://schemas.openxmlformats.org/officeDocument/2006/relationships/hyperlink" Id="rId13" Target="https://doi.org/10.3406/befeo.1931.4415"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 40. Doorjamb of Prasat Ta Prohm, Vat Bati, 5th century Śaka</dc:title>
  <dc:creator>Kunthea Chhom and Arlo Griffiths</dc:creator>
  <cp:keywords/>
  <dcterms:created xsi:type="dcterms:W3CDTF">2026-10-26T13:59:43Z</dcterms:created>
  <dcterms:modified xsi:type="dcterms:W3CDTF">2026-10-26T13:59:43Z</dcterms:modified>
</cp:coreProperties>
</file>

<file path=docProps/custom.xml><?xml version="1.0" encoding="utf-8"?>
<Properties xmlns="http://schemas.openxmlformats.org/officeDocument/2006/custom-properties" xmlns:vt="http://schemas.openxmlformats.org/officeDocument/2006/docPropsVTypes"/>
</file>