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 5. Doorjamb of Thap Muoi, Prasat Pram Loveng, 5th century Śaka</w:t>
      </w:r>
    </w:p>
    <w:p>
      <w:pPr>
        <w:pStyle w:val="Author"/>
      </w:pPr>
      <w:r>
        <w:t xml:space="preserve">Kunthea Chhom, Dominic Goodall and Arlo Griffiths</w:t>
      </w:r>
    </w:p>
    <w:p>
      <w:pPr>
        <w:pStyle w:val="FirstParagraph"/>
      </w:pPr>
      <w:r>
        <w:t xml:space="preserve">Authors of digital edition: Kunthea Chhom, Dominic Goodall, Arlo Griffiths</w:t>
      </w:r>
    </w:p>
    <w:p>
      <w:pPr>
        <w:pStyle w:val="BodyText"/>
      </w:pPr>
      <w:r>
        <w:t xml:space="preserve">Identifier: DHARMA_INSCIK00005</w:t>
      </w:r>
    </w:p>
    <w:p>
      <w:pPr>
        <w:pStyle w:val="BodyText"/>
      </w:pPr>
      <w:r>
        <w:t xml:space="preserve">Repository: Khmer (tfc-khmer-epigraphy)</w:t>
      </w:r>
    </w:p>
    <w:p>
      <w:pPr>
        <w:pStyle w:val="BodyText"/>
      </w:pPr>
      <w:r>
        <w:t xml:space="preserve">File path: texts/xml/DHARMA_INSCIK00005.xml</w:t>
      </w:r>
    </w:p>
    <w:p>
      <w:pPr>
        <w:pStyle w:val="BodyText"/>
      </w:pPr>
      <w:r>
        <w:t xml:space="preserve">Language: Sanskrit [Khmer]</w:t>
      </w:r>
    </w:p>
    <w:p>
      <w:pPr>
        <w:pStyle w:val="BodyText"/>
      </w:pPr>
      <w:r>
        <w:t xml:space="preserve">Commit: 2026-10-23 15:46 (7597515), last modified 2026-09-19 07:30 (6c36829)</w:t>
      </w:r>
    </w:p>
    <w:p>
      <w:pPr>
        <w:pStyle w:val="Heading1"/>
      </w:pPr>
      <w:r>
        <w:t xml:space="preserve">Palaeographic description</w:t>
      </w:r>
    </w:p>
    <w:p>
      <w:pPr>
        <w:pStyle w:val="FirstParagraph"/>
      </w:pPr>
      <w:r>
        <w:t xml:space="preserve">The lettering is characteristic of the fifth century CE. The</w:t>
      </w:r>
      <w:r>
        <w:t xml:space="preserve"> </w:t>
      </w:r>
      <w:r>
        <w:rPr>
          <w:i/>
          <w:iCs/>
        </w:rPr>
        <w:t xml:space="preserve">akṣara</w:t>
      </w:r>
      <w:r>
        <w:t xml:space="preserve">s have very long ornamental descenders. Several letters including</w:t>
      </w:r>
      <w:r>
        <w:t xml:space="preserve"> </w:t>
      </w:r>
      <w:r>
        <w:rPr>
          <w:i/>
          <w:iCs/>
        </w:rPr>
        <w:t xml:space="preserve">ra</w:t>
      </w:r>
      <w:r>
        <w:t xml:space="preserve">,</w:t>
      </w:r>
      <w:r>
        <w:t xml:space="preserve"> </w:t>
      </w:r>
      <w:r>
        <w:rPr>
          <w:i/>
          <w:iCs/>
        </w:rPr>
        <w:t xml:space="preserve">ṇa</w:t>
      </w:r>
      <w:r>
        <w:t xml:space="preserve">,</w:t>
      </w:r>
      <w:r>
        <w:t xml:space="preserve"> </w:t>
      </w:r>
      <w:r>
        <w:rPr>
          <w:i/>
          <w:iCs/>
        </w:rPr>
        <w:t xml:space="preserve">ya</w:t>
      </w:r>
      <w:r>
        <w:t xml:space="preserve">,</w:t>
      </w:r>
      <w:r>
        <w:t xml:space="preserve"> </w:t>
      </w:r>
      <w:r>
        <w:rPr>
          <w:i/>
          <w:iCs/>
        </w:rPr>
        <w:t xml:space="preserve">śa</w:t>
      </w:r>
      <w:r>
        <w:t xml:space="preserve"> </w:t>
      </w:r>
      <w:r>
        <w:t xml:space="preserve">and</w:t>
      </w:r>
      <w:r>
        <w:t xml:space="preserve"> </w:t>
      </w:r>
      <w:r>
        <w:rPr>
          <w:i/>
          <w:iCs/>
        </w:rPr>
        <w:t xml:space="preserve">ma</w:t>
      </w:r>
      <w:r>
        <w:t xml:space="preserve"> </w:t>
      </w:r>
      <w:r>
        <w:t xml:space="preserve">have antiquated form. The "underscript" of the final consonnants M and T indicates that they are devoid of the inherent vowel -</w:t>
      </w:r>
      <w:r>
        <w:t xml:space="preserve"> </w:t>
      </w:r>
      <w:r>
        <w:rPr>
          <w:i/>
          <w:iCs/>
        </w:rPr>
        <w:t xml:space="preserve">a</w:t>
      </w:r>
      <w:r>
        <w:t xml:space="preserve">.</w:t>
      </w:r>
    </w:p>
    <w:p>
      <w:r>
        <w:pict>
          <v:rect style="width:0;height:1.5pt" o:hralign="center" o:hrstd="t" o:hr="t"/>
        </w:pict>
      </w:r>
    </w:p>
    <w:p>
      <w:pPr>
        <w:pStyle w:val="Heading1"/>
      </w:pPr>
      <w:r>
        <w:t xml:space="preserve">Edition</w:t>
      </w:r>
    </w:p>
    <w:p>
      <w:pPr>
        <w:pStyle w:val="FirstParagraph"/>
      </w:pPr>
      <w:r>
        <w:t xml:space="preserve">1.</w:t>
      </w:r>
      <w:r>
        <w:t xml:space="preserve"> </w:t>
      </w:r>
      <w:hyperlink r:id="rId9">
        <w:r>
          <w:rPr>
            <w:rStyle w:val="Hyperlink"/>
          </w:rPr>
          <w:t xml:space="preserve">Vasantatilakā</w:t>
        </w:r>
      </w:hyperlink>
    </w:p>
    <w:p>
      <w:pPr>
        <w:pStyle w:val="BodyText"/>
      </w:pPr>
      <w:r>
        <w:rPr>
          <w:rStyle w:val="ColorGray"/>
        </w:rPr>
        <w:t xml:space="preserve"> </w:t>
      </w:r>
      <w:r>
        <w:rPr>
          <w:rStyle w:val="ColorGray"/>
        </w:rPr>
        <w:t xml:space="preserve">⟨1⟩</w:t>
      </w:r>
      <w:r>
        <w:rPr>
          <w:rStyle w:val="ColorGray"/>
        </w:rPr>
        <w:t xml:space="preserve"> </w:t>
      </w:r>
      <w:r>
        <w:rPr>
          <w:rStyle w:val="ColorGray"/>
        </w:rPr>
        <w:t xml:space="preserve"> </w:t>
      </w:r>
      <w:r>
        <w:rPr>
          <w:rStyle w:val="ColorGray"/>
        </w:rPr>
        <w:t xml:space="preserve">⟨Column a⟩</w:t>
      </w:r>
      <w:r>
        <w:rPr>
          <w:rStyle w:val="ColorGray"/>
        </w:rPr>
        <w:t xml:space="preserve"> </w:t>
      </w:r>
      <w:r>
        <w:t xml:space="preserve">[––⏑–⏑⏑⏑–⏑⏑–⏑–⏓]</w:t>
      </w:r>
      <w:r>
        <w:br/>
      </w:r>
      <w:r>
        <w:rPr>
          <w:rStyle w:val="ColorGray"/>
        </w:rPr>
        <w:t xml:space="preserve">⟨Column b⟩</w:t>
      </w:r>
      <w:r>
        <w:rPr>
          <w:rStyle w:val="ColorGray"/>
        </w:rPr>
        <w:t xml:space="preserve"> </w:t>
      </w:r>
      <w:r>
        <w:t xml:space="preserve">[––⏑–⏑⏑⏑–⏑⏑–⏑–⏓]</w:t>
      </w:r>
      <w:r>
        <w:br/>
      </w:r>
      <w:r>
        <w:rPr>
          <w:rStyle w:val="ColorGray"/>
        </w:rPr>
        <w:t xml:space="preserve">⟨2⟩</w:t>
      </w:r>
      <w:r>
        <w:rPr>
          <w:rStyle w:val="ColorGray"/>
        </w:rPr>
        <w:t xml:space="preserve"> </w:t>
      </w:r>
      <w:r>
        <w:rPr>
          <w:rStyle w:val="ColorGray"/>
        </w:rPr>
        <w:t xml:space="preserve"> </w:t>
      </w:r>
      <w:r>
        <w:rPr>
          <w:rStyle w:val="ColorGray"/>
        </w:rPr>
        <w:t xml:space="preserve">⟨Column a⟩</w:t>
      </w:r>
      <w:r>
        <w:rPr>
          <w:rStyle w:val="ColorGray"/>
        </w:rPr>
        <w:t xml:space="preserve"> </w:t>
      </w:r>
      <w:r>
        <w:t xml:space="preserve">[––⏑–⏑⏑⏑–⏑⏑–⏑–⏓]</w:t>
      </w:r>
      <w:r>
        <w:br/>
      </w:r>
      <w:r>
        <w:rPr>
          <w:rStyle w:val="ColorGray"/>
        </w:rPr>
        <w:t xml:space="preserve">⟨Column b⟩</w:t>
      </w:r>
      <w:r>
        <w:rPr>
          <w:rStyle w:val="ColorGray"/>
        </w:rPr>
        <w:t xml:space="preserve"> </w:t>
      </w:r>
      <w:r>
        <w:t xml:space="preserve">[––⏑–]vid iva [–⏑]taga[⏑–⏓]</w:t>
      </w:r>
    </w:p>
    <w:p>
      <w:pPr>
        <w:pStyle w:val="BodyText"/>
      </w:pPr>
      <w:r>
        <w:t xml:space="preserve">2.</w:t>
      </w:r>
      <w:r>
        <w:t xml:space="preserve"> </w:t>
      </w:r>
      <w:hyperlink r:id="rId9">
        <w:r>
          <w:rPr>
            <w:rStyle w:val="Hyperlink"/>
          </w:rPr>
          <w:t xml:space="preserve">Vasantatilakā</w:t>
        </w:r>
      </w:hyperlink>
    </w:p>
    <w:p>
      <w:pPr>
        <w:pStyle w:val="BodyText"/>
      </w:pPr>
      <w:r>
        <w:rPr>
          <w:rStyle w:val="ColorGray"/>
        </w:rPr>
        <w:t xml:space="preserve">⟨3⟩</w:t>
      </w:r>
      <w:r>
        <w:rPr>
          <w:rStyle w:val="ColorGray"/>
        </w:rPr>
        <w:t xml:space="preserve"> </w:t>
      </w:r>
      <w:r>
        <w:rPr>
          <w:rStyle w:val="ColorGray"/>
        </w:rPr>
        <w:t xml:space="preserve"> </w:t>
      </w:r>
      <w:r>
        <w:rPr>
          <w:rStyle w:val="ColorGray"/>
        </w:rPr>
        <w:t xml:space="preserve">⟨Column a⟩</w:t>
      </w:r>
      <w:r>
        <w:rPr>
          <w:rStyle w:val="ColorGray"/>
        </w:rPr>
        <w:t xml:space="preserve"> </w:t>
      </w:r>
      <w:r>
        <w:t xml:space="preserve">꩜ ∥ tasya prasāda-ja[⏑–⏑⏑–⏑–⏓]</w:t>
      </w:r>
      <w:r>
        <w:br/>
      </w:r>
      <w:r>
        <w:rPr>
          <w:rStyle w:val="ColorGray"/>
        </w:rPr>
        <w:t xml:space="preserve">⟨Column b⟩</w:t>
      </w:r>
      <w:r>
        <w:rPr>
          <w:rStyle w:val="ColorGray"/>
        </w:rPr>
        <w:t xml:space="preserve"> </w:t>
      </w:r>
      <w:r>
        <w:t xml:space="preserve">[––⏑–⏑]nr̥-patir jja[⏑–⏑–⏓]</w:t>
      </w:r>
      <w:r>
        <w:br/>
      </w:r>
      <w:r>
        <w:rPr>
          <w:rStyle w:val="ColorGray"/>
        </w:rPr>
        <w:t xml:space="preserve">⟨4⟩</w:t>
      </w:r>
      <w:r>
        <w:rPr>
          <w:rStyle w:val="ColorGray"/>
        </w:rPr>
        <w:t xml:space="preserve"> </w:t>
      </w:r>
      <w:r>
        <w:rPr>
          <w:rStyle w:val="ColorGray"/>
        </w:rPr>
        <w:t xml:space="preserve"> </w:t>
      </w:r>
      <w:r>
        <w:rPr>
          <w:rStyle w:val="ColorGray"/>
        </w:rPr>
        <w:t xml:space="preserve">⟨Column a⟩</w:t>
      </w:r>
      <w:r>
        <w:rPr>
          <w:rStyle w:val="ColorGray"/>
        </w:rPr>
        <w:t xml:space="preserve"> </w:t>
      </w:r>
      <w:r>
        <w:t xml:space="preserve">yasyāgra-hasta-parimr̥ṣṭa-jalas samudra</w:t>
      </w:r>
      <w:r>
        <w:rPr>
          <w:rStyle w:val="ColorGray"/>
        </w:rPr>
        <w:t xml:space="preserve">⟨Column b⟩</w:t>
      </w:r>
      <w:r>
        <w:t xml:space="preserve">ẖ</w:t>
      </w:r>
      <w:r>
        <w:br/>
      </w:r>
      <w:r>
        <w:rPr>
          <w:rStyle w:val="ColorGray"/>
        </w:rPr>
        <w:t xml:space="preserve">⟨Column b⟩</w:t>
      </w:r>
      <w:r>
        <w:rPr>
          <w:rStyle w:val="ColorGray"/>
        </w:rPr>
        <w:t xml:space="preserve"> </w:t>
      </w:r>
      <w:r>
        <w:t xml:space="preserve">kṣīrodako ’py amr̥tavad draham abhya[–⏓]</w:t>
      </w:r>
    </w:p>
    <w:p>
      <w:pPr>
        <w:pStyle w:val="BodyText"/>
      </w:pPr>
      <w:r>
        <w:t xml:space="preserve">3.</w:t>
      </w:r>
      <w:r>
        <w:t xml:space="preserve"> </w:t>
      </w:r>
      <w:hyperlink r:id="rId9">
        <w:r>
          <w:rPr>
            <w:rStyle w:val="Hyperlink"/>
          </w:rPr>
          <w:t xml:space="preserve">Vasantatilakā</w:t>
        </w:r>
      </w:hyperlink>
    </w:p>
    <w:p>
      <w:pPr>
        <w:pStyle w:val="BodyText"/>
      </w:pPr>
      <w:r>
        <w:rPr>
          <w:rStyle w:val="ColorGray"/>
        </w:rPr>
        <w:t xml:space="preserve">⟨5⟩</w:t>
      </w:r>
      <w:r>
        <w:rPr>
          <w:rStyle w:val="ColorGray"/>
        </w:rPr>
        <w:t xml:space="preserve"> </w:t>
      </w:r>
      <w:r>
        <w:rPr>
          <w:rStyle w:val="ColorGray"/>
        </w:rPr>
        <w:t xml:space="preserve"> </w:t>
      </w:r>
      <w:r>
        <w:rPr>
          <w:rStyle w:val="ColorGray"/>
        </w:rPr>
        <w:t xml:space="preserve">⟨Column a⟩</w:t>
      </w:r>
      <w:r>
        <w:rPr>
          <w:rStyle w:val="ColorGray"/>
        </w:rPr>
        <w:t xml:space="preserve"> </w:t>
      </w:r>
      <w:r>
        <w:t xml:space="preserve">꩜ ∥ jārāṅga[–⏑⏑⏑–]-yudhi vīra[–⏓]</w:t>
      </w:r>
      <w:r>
        <w:br/>
      </w:r>
      <w:r>
        <w:rPr>
          <w:rStyle w:val="ColorGray"/>
        </w:rPr>
        <w:t xml:space="preserve">⟨Column b⟩</w:t>
      </w:r>
      <w:r>
        <w:rPr>
          <w:rStyle w:val="ColorGray"/>
        </w:rPr>
        <w:t xml:space="preserve"> </w:t>
      </w:r>
      <w:r>
        <w:t xml:space="preserve">nāmnā narādhipatinā saha yu[⏑–⏓]</w:t>
      </w:r>
      <w:r>
        <w:br/>
      </w:r>
      <w:r>
        <w:rPr>
          <w:rStyle w:val="ColorGray"/>
        </w:rPr>
        <w:t xml:space="preserve">⟨6⟩</w:t>
      </w:r>
      <w:r>
        <w:rPr>
          <w:rStyle w:val="ColorGray"/>
        </w:rPr>
        <w:t xml:space="preserve"> </w:t>
      </w:r>
      <w:r>
        <w:rPr>
          <w:rStyle w:val="ColorGray"/>
        </w:rPr>
        <w:t xml:space="preserve"> </w:t>
      </w:r>
      <w:r>
        <w:rPr>
          <w:rStyle w:val="ColorGray"/>
        </w:rPr>
        <w:t xml:space="preserve">⟨Column a⟩</w:t>
      </w:r>
      <w:r>
        <w:rPr>
          <w:rStyle w:val="ColorGray"/>
        </w:rPr>
        <w:t xml:space="preserve"> </w:t>
      </w:r>
      <w:r>
        <w:t xml:space="preserve">śrī-[–⏑–⏑⏑⏑–⏑⏑–⏑–⏓]</w:t>
      </w:r>
      <w:r>
        <w:rPr>
          <w:rStyle w:val="ColorGray"/>
        </w:rPr>
        <w:t xml:space="preserve">⟨Column b⟩</w:t>
      </w:r>
      <w:r>
        <w:t xml:space="preserve">r</w:t>
      </w:r>
      <w:r>
        <w:br/>
      </w:r>
      <w:r>
        <w:rPr>
          <w:rStyle w:val="ColorGray"/>
        </w:rPr>
        <w:t xml:space="preserve">⟨Column b⟩</w:t>
      </w:r>
      <w:r>
        <w:rPr>
          <w:rStyle w:val="ColorGray"/>
        </w:rPr>
        <w:t xml:space="preserve"> </w:t>
      </w:r>
      <w:r>
        <w:t xml:space="preserve">yyonau [⏑–]pari catur-bhuja-[–⏑–⏓]∥</w:t>
      </w:r>
    </w:p>
    <w:p>
      <w:pPr>
        <w:pStyle w:val="BodyText"/>
      </w:pPr>
      <w:r>
        <w:t xml:space="preserve">4.</w:t>
      </w:r>
      <w:r>
        <w:t xml:space="preserve"> </w:t>
      </w:r>
      <w:hyperlink r:id="rId10">
        <w:r>
          <w:rPr>
            <w:rStyle w:val="Hyperlink"/>
          </w:rPr>
          <w:t xml:space="preserve">Anuṣṭubh</w:t>
        </w:r>
      </w:hyperlink>
    </w:p>
    <w:p>
      <w:pPr>
        <w:pStyle w:val="BodyText"/>
      </w:pPr>
      <w:r>
        <w:rPr>
          <w:rStyle w:val="ColorGray"/>
        </w:rPr>
        <w:t xml:space="preserve">⟨7⟩</w:t>
      </w:r>
      <w:r>
        <w:rPr>
          <w:rStyle w:val="ColorGray"/>
        </w:rPr>
        <w:t xml:space="preserve"> </w:t>
      </w:r>
      <w:r>
        <w:rPr>
          <w:rStyle w:val="ColorGray"/>
        </w:rPr>
        <w:t xml:space="preserve"> </w:t>
      </w:r>
      <w:r>
        <w:rPr>
          <w:rStyle w:val="ColorGray"/>
        </w:rPr>
        <w:t xml:space="preserve">⟨Column a⟩</w:t>
      </w:r>
      <w:r>
        <w:rPr>
          <w:rStyle w:val="ColorGray"/>
        </w:rPr>
        <w:t xml:space="preserve"> </w:t>
      </w:r>
      <w:r>
        <w:t xml:space="preserve">꩜ ∥ k[⏓][⏓⏓⏓⏑––⏓]</w:t>
      </w:r>
      <w:r>
        <w:br/>
      </w:r>
      <w:r>
        <w:rPr>
          <w:rStyle w:val="ColorGray"/>
        </w:rPr>
        <w:t xml:space="preserve">⟨Column b⟩</w:t>
      </w:r>
      <w:r>
        <w:rPr>
          <w:rStyle w:val="ColorGray"/>
        </w:rPr>
        <w:t xml:space="preserve"> </w:t>
      </w:r>
      <w:r>
        <w:t xml:space="preserve">[⏓⏓⏓⏓]tab[–][⏑][.]ā</w:t>
      </w:r>
      <w:r>
        <w:br/>
      </w:r>
      <w:r>
        <w:rPr>
          <w:rStyle w:val="ColorGray"/>
        </w:rPr>
        <w:t xml:space="preserve">⟨Column c⟩</w:t>
      </w:r>
      <w:r>
        <w:rPr>
          <w:rStyle w:val="ColorGray"/>
        </w:rPr>
        <w:t xml:space="preserve"> </w:t>
      </w:r>
      <w:r>
        <w:t xml:space="preserve">Adyā(p)i [⏓⏑–] hanti</w:t>
      </w:r>
      <w:r>
        <w:br/>
      </w:r>
      <w:r>
        <w:rPr>
          <w:rStyle w:val="ColorGray"/>
        </w:rPr>
        <w:t xml:space="preserve">⟨Column d⟩</w:t>
      </w:r>
      <w:r>
        <w:rPr>
          <w:rStyle w:val="ColorGray"/>
        </w:rPr>
        <w:t xml:space="preserve"> </w:t>
      </w:r>
      <w:r>
        <w:t xml:space="preserve">nirddagdhārāma[.]ā [–]mā∥</w:t>
      </w:r>
    </w:p>
    <w:p>
      <w:pPr>
        <w:pStyle w:val="BodyText"/>
      </w:pPr>
      <w:r>
        <w:t xml:space="preserve">5.</w:t>
      </w:r>
      <w:r>
        <w:t xml:space="preserve"> </w:t>
      </w:r>
      <w:hyperlink r:id="rId9">
        <w:r>
          <w:rPr>
            <w:rStyle w:val="Hyperlink"/>
          </w:rPr>
          <w:t xml:space="preserve">Vasantatilakā</w:t>
        </w:r>
      </w:hyperlink>
    </w:p>
    <w:p>
      <w:pPr>
        <w:pStyle w:val="BodyText"/>
      </w:pPr>
      <w:r>
        <w:rPr>
          <w:rStyle w:val="ColorGray"/>
        </w:rPr>
        <w:t xml:space="preserve">⟨8⟩</w:t>
      </w:r>
      <w:r>
        <w:rPr>
          <w:rStyle w:val="ColorGray"/>
        </w:rPr>
        <w:t xml:space="preserve"> </w:t>
      </w:r>
      <w:r>
        <w:rPr>
          <w:rStyle w:val="ColorGray"/>
        </w:rPr>
        <w:t xml:space="preserve"> </w:t>
      </w:r>
      <w:r>
        <w:rPr>
          <w:rStyle w:val="ColorGray"/>
        </w:rPr>
        <w:t xml:space="preserve">⟨Column a⟩</w:t>
      </w:r>
      <w:r>
        <w:rPr>
          <w:rStyle w:val="ColorGray"/>
        </w:rPr>
        <w:t xml:space="preserve"> </w:t>
      </w:r>
      <w:r>
        <w:t xml:space="preserve">꩜ ∥ padm[–⏑–⏑⏑⏑] yo bhuvi [–⏓] sa(rvva)</w:t>
      </w:r>
      <w:r>
        <w:br/>
      </w:r>
      <w:r>
        <w:rPr>
          <w:rStyle w:val="ColorGray"/>
        </w:rPr>
        <w:t xml:space="preserve">⟨Column b⟩</w:t>
      </w:r>
      <w:r>
        <w:rPr>
          <w:rStyle w:val="ColorGray"/>
        </w:rPr>
        <w:t xml:space="preserve"> </w:t>
      </w:r>
      <w:r>
        <w:t xml:space="preserve">[1×]i [–⏑–]-[r]ipu-gaṇās sva[⏑]jā[⏑](ye)na</w:t>
      </w:r>
      <w:r>
        <w:br/>
      </w:r>
      <w:r>
        <w:rPr>
          <w:rStyle w:val="ColorGray"/>
        </w:rPr>
        <w:t xml:space="preserve">⟨9⟩</w:t>
      </w:r>
      <w:r>
        <w:rPr>
          <w:rStyle w:val="ColorGray"/>
        </w:rPr>
        <w:t xml:space="preserve"> </w:t>
      </w:r>
      <w:r>
        <w:rPr>
          <w:rStyle w:val="ColorGray"/>
        </w:rPr>
        <w:t xml:space="preserve"> </w:t>
      </w:r>
      <w:r>
        <w:rPr>
          <w:rStyle w:val="ColorGray"/>
        </w:rPr>
        <w:t xml:space="preserve">⟨Column a⟩</w:t>
      </w:r>
      <w:r>
        <w:rPr>
          <w:rStyle w:val="ColorGray"/>
        </w:rPr>
        <w:t xml:space="preserve"> </w:t>
      </w:r>
      <w:r>
        <w:t xml:space="preserve">sa[ṁ](sthāpitā bhagava)taś ca jagaty anekā</w:t>
      </w:r>
      <w:r>
        <w:br/>
      </w:r>
      <w:r>
        <w:rPr>
          <w:rStyle w:val="ColorGray"/>
        </w:rPr>
        <w:t xml:space="preserve">⟨Column b⟩</w:t>
      </w:r>
      <w:r>
        <w:rPr>
          <w:rStyle w:val="ColorGray"/>
        </w:rPr>
        <w:t xml:space="preserve"> </w:t>
      </w:r>
      <w:r>
        <w:t xml:space="preserve">[––⏑–⏑⏑] dhanaiḫ paritoṣitāś ca∥</w:t>
      </w:r>
    </w:p>
    <w:p>
      <w:pPr>
        <w:pStyle w:val="BodyText"/>
      </w:pPr>
      <w:r>
        <w:t xml:space="preserve">6.</w:t>
      </w:r>
      <w:r>
        <w:t xml:space="preserve"> </w:t>
      </w:r>
      <w:hyperlink r:id="rId9">
        <w:r>
          <w:rPr>
            <w:rStyle w:val="Hyperlink"/>
          </w:rPr>
          <w:t xml:space="preserve">Vasantatilakā</w:t>
        </w:r>
      </w:hyperlink>
    </w:p>
    <w:p>
      <w:pPr>
        <w:pStyle w:val="BodyText"/>
      </w:pPr>
      <w:r>
        <w:rPr>
          <w:rStyle w:val="ColorGray"/>
        </w:rPr>
        <w:t xml:space="preserve">⟨10⟩</w:t>
      </w:r>
      <w:r>
        <w:rPr>
          <w:rStyle w:val="ColorGray"/>
        </w:rPr>
        <w:t xml:space="preserve"> </w:t>
      </w:r>
      <w:r>
        <w:rPr>
          <w:rStyle w:val="ColorGray"/>
        </w:rPr>
        <w:t xml:space="preserve"> </w:t>
      </w:r>
      <w:r>
        <w:rPr>
          <w:rStyle w:val="ColorGray"/>
        </w:rPr>
        <w:t xml:space="preserve">⟨Column a⟩</w:t>
      </w:r>
      <w:r>
        <w:rPr>
          <w:rStyle w:val="ColorGray"/>
        </w:rPr>
        <w:t xml:space="preserve"> </w:t>
      </w:r>
      <w:r>
        <w:t xml:space="preserve">꩜ ∥ tasyāvanī[⏑⏑⏑]ter guṇavarmma-nā[mā]</w:t>
      </w:r>
      <w:r>
        <w:br/>
      </w:r>
      <w:r>
        <w:rPr>
          <w:rStyle w:val="ColorGray"/>
        </w:rPr>
        <w:t xml:space="preserve">⟨Column b⟩</w:t>
      </w:r>
      <w:r>
        <w:rPr>
          <w:rStyle w:val="ColorGray"/>
        </w:rPr>
        <w:t xml:space="preserve"> </w:t>
      </w:r>
      <w:r>
        <w:t xml:space="preserve">[.]r̥[–⏑–⏑⏑]ṇabuddhir abhūn mahātmā</w:t>
      </w:r>
      <w:r>
        <w:br/>
      </w:r>
      <w:r>
        <w:rPr>
          <w:rStyle w:val="ColorGray"/>
        </w:rPr>
        <w:t xml:space="preserve">⟨11⟩</w:t>
      </w:r>
      <w:r>
        <w:rPr>
          <w:rStyle w:val="ColorGray"/>
        </w:rPr>
        <w:t xml:space="preserve"> </w:t>
      </w:r>
      <w:r>
        <w:rPr>
          <w:rStyle w:val="ColorGray"/>
        </w:rPr>
        <w:t xml:space="preserve"> </w:t>
      </w:r>
      <w:r>
        <w:rPr>
          <w:rStyle w:val="ColorGray"/>
        </w:rPr>
        <w:t xml:space="preserve">⟨Column a⟩</w:t>
      </w:r>
      <w:r>
        <w:rPr>
          <w:rStyle w:val="ColorGray"/>
        </w:rPr>
        <w:t xml:space="preserve"> </w:t>
      </w:r>
      <w:r>
        <w:t xml:space="preserve">se(n)[–⏑–⏑⏑⏑]-saṅkrama-cāru-kāñcī</w:t>
      </w:r>
      <w:r>
        <w:br/>
      </w:r>
      <w:r>
        <w:rPr>
          <w:rStyle w:val="ColorGray"/>
        </w:rPr>
        <w:t xml:space="preserve">⟨Column b⟩</w:t>
      </w:r>
      <w:r>
        <w:rPr>
          <w:rStyle w:val="ColorGray"/>
        </w:rPr>
        <w:t xml:space="preserve"> </w:t>
      </w:r>
      <w:r>
        <w:t xml:space="preserve">yen(e/o)[⏑–⏑] dayitā janitā manojñā∥</w:t>
      </w:r>
    </w:p>
    <w:p>
      <w:pPr>
        <w:pStyle w:val="BodyText"/>
      </w:pPr>
      <w:r>
        <w:t xml:space="preserve">7.</w:t>
      </w:r>
      <w:r>
        <w:t xml:space="preserve"> </w:t>
      </w:r>
      <w:hyperlink r:id="rId9">
        <w:r>
          <w:rPr>
            <w:rStyle w:val="Hyperlink"/>
          </w:rPr>
          <w:t xml:space="preserve">Vasantatilakā</w:t>
        </w:r>
      </w:hyperlink>
    </w:p>
    <w:p>
      <w:pPr>
        <w:pStyle w:val="BodyText"/>
      </w:pPr>
      <w:r>
        <w:rPr>
          <w:rStyle w:val="ColorGray"/>
        </w:rPr>
        <w:t xml:space="preserve">⟨12⟩</w:t>
      </w:r>
      <w:r>
        <w:rPr>
          <w:rStyle w:val="ColorGray"/>
        </w:rPr>
        <w:t xml:space="preserve"> </w:t>
      </w:r>
      <w:r>
        <w:rPr>
          <w:rStyle w:val="ColorGray"/>
        </w:rPr>
        <w:t xml:space="preserve"> </w:t>
      </w:r>
      <w:r>
        <w:rPr>
          <w:rStyle w:val="ColorGray"/>
        </w:rPr>
        <w:t xml:space="preserve">⟨Column a⟩</w:t>
      </w:r>
      <w:r>
        <w:rPr>
          <w:rStyle w:val="ColorGray"/>
        </w:rPr>
        <w:t xml:space="preserve"> </w:t>
      </w:r>
      <w:r>
        <w:t xml:space="preserve">꩜ ∥ yaś śrī(ma)tā (vi)[ja](ya)-vikrami-vikra[meṇa]</w:t>
      </w:r>
      <w:r>
        <w:br/>
      </w:r>
      <w:r>
        <w:rPr>
          <w:rStyle w:val="ColorGray"/>
        </w:rPr>
        <w:t xml:space="preserve">⟨Column b⟩</w:t>
      </w:r>
      <w:r>
        <w:rPr>
          <w:rStyle w:val="ColorGray"/>
        </w:rPr>
        <w:t xml:space="preserve"> </w:t>
      </w:r>
      <w:r>
        <w:t xml:space="preserve">kauṇdi[n]ya-[vaṅ]śa-śaśinā vasudhādhipena</w:t>
      </w:r>
      <w:r>
        <w:br/>
      </w:r>
      <w:r>
        <w:rPr>
          <w:rStyle w:val="ColorGray"/>
        </w:rPr>
        <w:t xml:space="preserve">⟨13⟩</w:t>
      </w:r>
      <w:r>
        <w:rPr>
          <w:rStyle w:val="ColorGray"/>
        </w:rPr>
        <w:t xml:space="preserve"> </w:t>
      </w:r>
      <w:r>
        <w:rPr>
          <w:rStyle w:val="ColorGray"/>
        </w:rPr>
        <w:t xml:space="preserve"> </w:t>
      </w:r>
      <w:r>
        <w:rPr>
          <w:rStyle w:val="ColorGray"/>
        </w:rPr>
        <w:t xml:space="preserve">⟨Column a⟩</w:t>
      </w:r>
      <w:r>
        <w:rPr>
          <w:rStyle w:val="ColorGray"/>
        </w:rPr>
        <w:t xml:space="preserve"> </w:t>
      </w:r>
      <w:r>
        <w:t xml:space="preserve">ja(mb)ātta-bhojaka-pade nr̥pa-sūnu[––]</w:t>
      </w:r>
      <w:r>
        <w:br/>
      </w:r>
      <w:r>
        <w:rPr>
          <w:rStyle w:val="ColorGray"/>
        </w:rPr>
        <w:t xml:space="preserve">⟨Column b⟩</w:t>
      </w:r>
      <w:r>
        <w:rPr>
          <w:rStyle w:val="ColorGray"/>
        </w:rPr>
        <w:t xml:space="preserve"> </w:t>
      </w:r>
      <w:r>
        <w:t xml:space="preserve">bālo ’pi [sa]nn adhikr̥to guṇa-śauryya-yogāT∥</w:t>
      </w:r>
    </w:p>
    <w:p>
      <w:pPr>
        <w:pStyle w:val="BodyText"/>
      </w:pPr>
      <w:r>
        <w:t xml:space="preserve">8.</w:t>
      </w:r>
      <w:r>
        <w:t xml:space="preserve"> </w:t>
      </w:r>
      <w:hyperlink r:id="rId9">
        <w:r>
          <w:rPr>
            <w:rStyle w:val="Hyperlink"/>
          </w:rPr>
          <w:t xml:space="preserve">Vasantatilakā</w:t>
        </w:r>
      </w:hyperlink>
    </w:p>
    <w:p>
      <w:pPr>
        <w:pStyle w:val="BodyText"/>
      </w:pPr>
      <w:r>
        <w:rPr>
          <w:rStyle w:val="ColorGray"/>
        </w:rPr>
        <w:t xml:space="preserve">⟨14⟩</w:t>
      </w:r>
      <w:r>
        <w:rPr>
          <w:rStyle w:val="ColorGray"/>
        </w:rPr>
        <w:t xml:space="preserve"> </w:t>
      </w:r>
      <w:r>
        <w:rPr>
          <w:rStyle w:val="ColorGray"/>
        </w:rPr>
        <w:t xml:space="preserve"> </w:t>
      </w:r>
      <w:r>
        <w:rPr>
          <w:rStyle w:val="ColorGray"/>
        </w:rPr>
        <w:t xml:space="preserve">⟨Column a⟩</w:t>
      </w:r>
      <w:r>
        <w:rPr>
          <w:rStyle w:val="ColorGray"/>
        </w:rPr>
        <w:t xml:space="preserve"> </w:t>
      </w:r>
      <w:r>
        <w:t xml:space="preserve">꩜ ∥ tenedam ātma-jananī-kara-saṁpra[–⏓]</w:t>
      </w:r>
      <w:r>
        <w:br/>
      </w:r>
      <w:r>
        <w:rPr>
          <w:rStyle w:val="ColorGray"/>
        </w:rPr>
        <w:t xml:space="preserve">⟨Column b⟩</w:t>
      </w:r>
      <w:r>
        <w:rPr>
          <w:rStyle w:val="ColorGray"/>
        </w:rPr>
        <w:t xml:space="preserve"> </w:t>
      </w:r>
      <w:r>
        <w:t xml:space="preserve">[–]sthāpitaṁ bhagavato bhuvi pāda-mūlaM</w:t>
      </w:r>
      <w:r>
        <w:br/>
      </w:r>
      <w:r>
        <w:rPr>
          <w:rStyle w:val="ColorGray"/>
        </w:rPr>
        <w:t xml:space="preserve">⟨15⟩</w:t>
      </w:r>
      <w:r>
        <w:rPr>
          <w:rStyle w:val="ColorGray"/>
        </w:rPr>
        <w:t xml:space="preserve"> </w:t>
      </w:r>
      <w:r>
        <w:rPr>
          <w:rStyle w:val="ColorGray"/>
        </w:rPr>
        <w:t xml:space="preserve"> </w:t>
      </w:r>
      <w:r>
        <w:rPr>
          <w:rStyle w:val="ColorGray"/>
        </w:rPr>
        <w:t xml:space="preserve">⟨Column a⟩</w:t>
      </w:r>
      <w:r>
        <w:rPr>
          <w:rStyle w:val="ColorGray"/>
        </w:rPr>
        <w:t xml:space="preserve"> </w:t>
      </w:r>
      <w:r>
        <w:t xml:space="preserve">yasyaiva rūpam atula-dyuti yena [.]r̥ [⏓]</w:t>
      </w:r>
      <w:r>
        <w:br/>
      </w:r>
      <w:r>
        <w:rPr>
          <w:rStyle w:val="ColorGray"/>
        </w:rPr>
        <w:t xml:space="preserve">⟨Column b⟩</w:t>
      </w:r>
      <w:r>
        <w:rPr>
          <w:rStyle w:val="ColorGray"/>
        </w:rPr>
        <w:t xml:space="preserve"> </w:t>
      </w:r>
      <w:r>
        <w:t xml:space="preserve">[––] sa necchati para-pratimāḫ pr̥thivyāM∥</w:t>
      </w:r>
    </w:p>
    <w:p>
      <w:pPr>
        <w:pStyle w:val="BodyText"/>
      </w:pPr>
      <w:r>
        <w:t xml:space="preserve">9.</w:t>
      </w:r>
      <w:r>
        <w:t xml:space="preserve"> </w:t>
      </w:r>
      <w:hyperlink r:id="rId9">
        <w:r>
          <w:rPr>
            <w:rStyle w:val="Hyperlink"/>
          </w:rPr>
          <w:t xml:space="preserve">Vasantatilakā</w:t>
        </w:r>
      </w:hyperlink>
    </w:p>
    <w:p>
      <w:pPr>
        <w:pStyle w:val="BodyText"/>
      </w:pPr>
      <w:r>
        <w:rPr>
          <w:rStyle w:val="ColorGray"/>
        </w:rPr>
        <w:t xml:space="preserve">⟨16⟩</w:t>
      </w:r>
      <w:r>
        <w:rPr>
          <w:rStyle w:val="ColorGray"/>
        </w:rPr>
        <w:t xml:space="preserve"> </w:t>
      </w:r>
      <w:r>
        <w:rPr>
          <w:rStyle w:val="ColorGray"/>
        </w:rPr>
        <w:t xml:space="preserve"> </w:t>
      </w:r>
      <w:r>
        <w:rPr>
          <w:rStyle w:val="ColorGray"/>
        </w:rPr>
        <w:t xml:space="preserve">⟨Column a⟩</w:t>
      </w:r>
      <w:r>
        <w:rPr>
          <w:rStyle w:val="ColorGray"/>
        </w:rPr>
        <w:t xml:space="preserve"> </w:t>
      </w:r>
      <w:r>
        <w:t xml:space="preserve">꩜ ∥ Asyāṣṭame ’hni vicitair upaveda-veda-</w:t>
      </w:r>
      <w:r>
        <w:br/>
      </w:r>
      <w:r>
        <w:rPr>
          <w:rStyle w:val="ColorGray"/>
        </w:rPr>
        <w:t xml:space="preserve">⟨Column b⟩</w:t>
      </w:r>
      <w:r>
        <w:rPr>
          <w:rStyle w:val="ColorGray"/>
        </w:rPr>
        <w:t xml:space="preserve"> </w:t>
      </w:r>
      <w:r>
        <w:t xml:space="preserve">-vedāṅga-vidbhir amara-pratimair dvijendraiḥ</w:t>
      </w:r>
      <w:r>
        <w:br/>
      </w:r>
      <w:r>
        <w:rPr>
          <w:rStyle w:val="ColorGray"/>
        </w:rPr>
        <w:t xml:space="preserve">⟨17⟩</w:t>
      </w:r>
      <w:r>
        <w:rPr>
          <w:rStyle w:val="ColorGray"/>
        </w:rPr>
        <w:t xml:space="preserve"> </w:t>
      </w:r>
      <w:r>
        <w:rPr>
          <w:rStyle w:val="ColorGray"/>
        </w:rPr>
        <w:t xml:space="preserve"> </w:t>
      </w:r>
      <w:r>
        <w:rPr>
          <w:rStyle w:val="ColorGray"/>
        </w:rPr>
        <w:t xml:space="preserve">⟨Column a⟩</w:t>
      </w:r>
      <w:r>
        <w:rPr>
          <w:rStyle w:val="ColorGray"/>
        </w:rPr>
        <w:t xml:space="preserve"> </w:t>
      </w:r>
      <w:r>
        <w:t xml:space="preserve">saṁskāritasya kathitaṁ bhuvi cakratīrttha-</w:t>
      </w:r>
      <w:r>
        <w:br/>
      </w:r>
      <w:r>
        <w:rPr>
          <w:rStyle w:val="ColorGray"/>
        </w:rPr>
        <w:t xml:space="preserve">⟨Column b⟩</w:t>
      </w:r>
      <w:r>
        <w:rPr>
          <w:rStyle w:val="ColorGray"/>
        </w:rPr>
        <w:t xml:space="preserve"> </w:t>
      </w:r>
      <w:r>
        <w:t xml:space="preserve">-svāmīti nāma vidadhuś śrutiṣu pravīṇāḥ∥</w:t>
      </w:r>
    </w:p>
    <w:p>
      <w:pPr>
        <w:pStyle w:val="BodyText"/>
      </w:pPr>
      <w:r>
        <w:t xml:space="preserve">10.</w:t>
      </w:r>
      <w:r>
        <w:t xml:space="preserve"> </w:t>
      </w:r>
      <w:hyperlink r:id="rId11">
        <w:r>
          <w:rPr>
            <w:rStyle w:val="Hyperlink"/>
          </w:rPr>
          <w:t xml:space="preserve">Śārdūlavikrīḍita</w:t>
        </w:r>
      </w:hyperlink>
    </w:p>
    <w:p>
      <w:pPr>
        <w:pStyle w:val="BodyText"/>
      </w:pPr>
      <w:r>
        <w:rPr>
          <w:rStyle w:val="ColorGray"/>
        </w:rPr>
        <w:t xml:space="preserve">⟨18⟩</w:t>
      </w:r>
      <w:r>
        <w:rPr>
          <w:rStyle w:val="ColorGray"/>
        </w:rPr>
        <w:t xml:space="preserve"> </w:t>
      </w:r>
      <w:r>
        <w:rPr>
          <w:rStyle w:val="ColorGray"/>
        </w:rPr>
        <w:t xml:space="preserve"> </w:t>
      </w:r>
      <w:r>
        <w:rPr>
          <w:rStyle w:val="ColorGray"/>
        </w:rPr>
        <w:t xml:space="preserve">⟨Column a⟩</w:t>
      </w:r>
      <w:r>
        <w:rPr>
          <w:rStyle w:val="ColorGray"/>
        </w:rPr>
        <w:t xml:space="preserve"> </w:t>
      </w:r>
      <w:r>
        <w:t xml:space="preserve">꩜ ∥ sthānaṁ yo guṇa-varmmaṇā guṇavatā śraddhāvatā tyāginā</w:t>
      </w:r>
      <w:r>
        <w:br/>
      </w:r>
      <w:r>
        <w:rPr>
          <w:rStyle w:val="ColorGray"/>
        </w:rPr>
        <w:t xml:space="preserve">⟨Column b⟩</w:t>
      </w:r>
      <w:r>
        <w:rPr>
          <w:rStyle w:val="ColorGray"/>
        </w:rPr>
        <w:t xml:space="preserve"> </w:t>
      </w:r>
      <w:r>
        <w:t xml:space="preserve">puṇyañ citra [⏑–⏑–] (kr̥)tam idaṁ śrī-cakratīrtthasya ha</w:t>
      </w:r>
      <w:r>
        <w:br/>
      </w:r>
      <w:r>
        <w:rPr>
          <w:rStyle w:val="ColorGray"/>
        </w:rPr>
        <w:t xml:space="preserve">⟨19⟩</w:t>
      </w:r>
      <w:r>
        <w:rPr>
          <w:rStyle w:val="ColorGray"/>
        </w:rPr>
        <w:t xml:space="preserve"> </w:t>
      </w:r>
      <w:r>
        <w:rPr>
          <w:rStyle w:val="ColorGray"/>
        </w:rPr>
        <w:t xml:space="preserve"> </w:t>
      </w:r>
      <w:r>
        <w:rPr>
          <w:rStyle w:val="ColorGray"/>
        </w:rPr>
        <w:t xml:space="preserve">⟨Column a⟩</w:t>
      </w:r>
      <w:r>
        <w:rPr>
          <w:rStyle w:val="ColorGray"/>
        </w:rPr>
        <w:t xml:space="preserve"> </w:t>
      </w:r>
      <w:r>
        <w:t xml:space="preserve">tad-bhakto ’dhivased viśed api ca vā tuṣṭāntarātmā jano</w:t>
      </w:r>
      <w:r>
        <w:br/>
      </w:r>
      <w:r>
        <w:rPr>
          <w:rStyle w:val="ColorGray"/>
        </w:rPr>
        <w:t xml:space="preserve">⟨Column b⟩</w:t>
      </w:r>
      <w:r>
        <w:rPr>
          <w:rStyle w:val="ColorGray"/>
        </w:rPr>
        <w:t xml:space="preserve"> </w:t>
      </w:r>
      <w:r>
        <w:t xml:space="preserve">mukto duṣkr̥[ta]-karmmaṇas sa paramaṅ gacchet padaṁ vaiṣṇavaM(∥?)</w:t>
      </w:r>
    </w:p>
    <w:p>
      <w:pPr>
        <w:pStyle w:val="BodyText"/>
      </w:pPr>
      <w:r>
        <w:t xml:space="preserve">11.</w:t>
      </w:r>
      <w:r>
        <w:t xml:space="preserve"> </w:t>
      </w:r>
      <w:hyperlink r:id="rId11">
        <w:r>
          <w:rPr>
            <w:rStyle w:val="Hyperlink"/>
          </w:rPr>
          <w:t xml:space="preserve">Śārdūlavikrīḍita</w:t>
        </w:r>
      </w:hyperlink>
    </w:p>
    <w:p>
      <w:pPr>
        <w:pStyle w:val="BodyText"/>
      </w:pPr>
      <w:r>
        <w:rPr>
          <w:rStyle w:val="ColorGray"/>
        </w:rPr>
        <w:t xml:space="preserve">⟨20⟩</w:t>
      </w:r>
      <w:r>
        <w:rPr>
          <w:rStyle w:val="ColorGray"/>
        </w:rPr>
        <w:t xml:space="preserve"> </w:t>
      </w:r>
      <w:r>
        <w:rPr>
          <w:rStyle w:val="ColorGray"/>
        </w:rPr>
        <w:t xml:space="preserve"> </w:t>
      </w:r>
      <w:r>
        <w:rPr>
          <w:rStyle w:val="ColorGray"/>
        </w:rPr>
        <w:t xml:space="preserve">⟨Column a⟩</w:t>
      </w:r>
      <w:r>
        <w:rPr>
          <w:rStyle w:val="ColorGray"/>
        </w:rPr>
        <w:t xml:space="preserve"> </w:t>
      </w:r>
      <w:r>
        <w:t xml:space="preserve">꩜ ∥ dattaṁ ya[d] guṇavarmmaṇā bhagavate dharmmārtthinā śaktito</w:t>
      </w:r>
      <w:r>
        <w:br/>
      </w:r>
      <w:r>
        <w:rPr>
          <w:rStyle w:val="ColorGray"/>
        </w:rPr>
        <w:t xml:space="preserve">⟨Column b⟩</w:t>
      </w:r>
      <w:r>
        <w:rPr>
          <w:rStyle w:val="ColorGray"/>
        </w:rPr>
        <w:t xml:space="preserve"> </w:t>
      </w:r>
      <w:r>
        <w:t xml:space="preserve">viprair bhāgavatair anātha-kr̥paṇais tat-karmma-kārais tathā</w:t>
      </w:r>
      <w:r>
        <w:br/>
      </w:r>
      <w:r>
        <w:rPr>
          <w:rStyle w:val="ColorGray"/>
        </w:rPr>
        <w:t xml:space="preserve">⟨21⟩</w:t>
      </w:r>
      <w:r>
        <w:rPr>
          <w:rStyle w:val="ColorGray"/>
        </w:rPr>
        <w:t xml:space="preserve"> </w:t>
      </w:r>
      <w:r>
        <w:rPr>
          <w:rStyle w:val="ColorGray"/>
        </w:rPr>
        <w:t xml:space="preserve"> </w:t>
      </w:r>
      <w:r>
        <w:rPr>
          <w:rStyle w:val="ColorGray"/>
        </w:rPr>
        <w:t xml:space="preserve">⟨Column a⟩</w:t>
      </w:r>
      <w:r>
        <w:rPr>
          <w:rStyle w:val="ColorGray"/>
        </w:rPr>
        <w:t xml:space="preserve"> </w:t>
      </w:r>
      <w:r>
        <w:t xml:space="preserve">tat sarvvair upayujyatāṁ samayato yair anyathā bhujyate</w:t>
      </w:r>
      <w:r>
        <w:br/>
      </w:r>
      <w:r>
        <w:rPr>
          <w:rStyle w:val="ColorGray"/>
        </w:rPr>
        <w:t xml:space="preserve">⟨Column b⟩</w:t>
      </w:r>
      <w:r>
        <w:rPr>
          <w:rStyle w:val="ColorGray"/>
        </w:rPr>
        <w:t xml:space="preserve"> </w:t>
      </w:r>
      <w:r>
        <w:t xml:space="preserve">yujyantāṁ narake yamasya patitās te pañcabhiḫ pātakaiḥ∥</w:t>
      </w:r>
    </w:p>
    <w:p>
      <w:pPr>
        <w:pStyle w:val="BodyText"/>
      </w:pPr>
      <w:r>
        <w:t xml:space="preserve">12.</w:t>
      </w:r>
      <w:r>
        <w:t xml:space="preserve"> </w:t>
      </w:r>
      <w:hyperlink r:id="rId12">
        <w:r>
          <w:rPr>
            <w:rStyle w:val="Hyperlink"/>
          </w:rPr>
          <w:t xml:space="preserve">Mālabhāriṇī</w:t>
        </w:r>
      </w:hyperlink>
    </w:p>
    <w:p>
      <w:pPr>
        <w:pStyle w:val="BodyText"/>
      </w:pPr>
      <w:r>
        <w:rPr>
          <w:rStyle w:val="ColorGray"/>
        </w:rPr>
        <w:t xml:space="preserve">⟨22⟩</w:t>
      </w:r>
      <w:r>
        <w:rPr>
          <w:rStyle w:val="ColorGray"/>
        </w:rPr>
        <w:t xml:space="preserve"> </w:t>
      </w:r>
      <w:r>
        <w:rPr>
          <w:rStyle w:val="ColorGray"/>
        </w:rPr>
        <w:t xml:space="preserve"> </w:t>
      </w:r>
      <w:r>
        <w:rPr>
          <w:rStyle w:val="ColorGray"/>
        </w:rPr>
        <w:t xml:space="preserve">⟨Column a⟩</w:t>
      </w:r>
      <w:r>
        <w:rPr>
          <w:rStyle w:val="ColorGray"/>
        </w:rPr>
        <w:t xml:space="preserve"> </w:t>
      </w:r>
      <w:r>
        <w:t xml:space="preserve">꩜ ∥ Abhivarddhayatīha yo mahātmā</w:t>
      </w:r>
      <w:r>
        <w:br/>
      </w:r>
      <w:r>
        <w:rPr>
          <w:rStyle w:val="ColorGray"/>
        </w:rPr>
        <w:t xml:space="preserve">⟨Column b⟩</w:t>
      </w:r>
      <w:r>
        <w:rPr>
          <w:rStyle w:val="ColorGray"/>
        </w:rPr>
        <w:t xml:space="preserve"> </w:t>
      </w:r>
      <w:r>
        <w:t xml:space="preserve">bhagavad-dravyam idaṁ guṇāhva[yas](ya)</w:t>
      </w:r>
      <w:r>
        <w:br/>
      </w:r>
      <w:r>
        <w:rPr>
          <w:rStyle w:val="ColorGray"/>
        </w:rPr>
        <w:t xml:space="preserve">⟨Column c⟩</w:t>
      </w:r>
      <w:r>
        <w:rPr>
          <w:rStyle w:val="ColorGray"/>
        </w:rPr>
        <w:t xml:space="preserve"> </w:t>
      </w:r>
      <w:r>
        <w:t xml:space="preserve">sa tu yat-ku[śa]laṁ labheta viṣṇo</w:t>
      </w:r>
      <w:r>
        <w:rPr>
          <w:rStyle w:val="ColorGray"/>
        </w:rPr>
        <w:t xml:space="preserve">⟨Column d⟩</w:t>
      </w:r>
      <w:r>
        <w:t xml:space="preserve">ḫ</w:t>
      </w:r>
      <w:r>
        <w:br/>
      </w:r>
      <w:r>
        <w:rPr>
          <w:rStyle w:val="ColorGray"/>
        </w:rPr>
        <w:t xml:space="preserve">⟨Column d⟩</w:t>
      </w:r>
      <w:r>
        <w:rPr>
          <w:rStyle w:val="ColorGray"/>
        </w:rPr>
        <w:t xml:space="preserve"> </w:t>
      </w:r>
      <w:r>
        <w:t xml:space="preserve">paramaṁ prāpya padaṁ mahad yaśaś ca(∥?)</w:t>
      </w:r>
    </w:p>
    <w:p>
      <w:pPr>
        <w:pStyle w:val="Heading1"/>
      </w:pPr>
      <w:r>
        <w:t xml:space="preserve">Apparatus</w:t>
      </w:r>
    </w:p>
    <w:p>
      <w:pPr>
        <w:pStyle w:val="FirstParagraph"/>
      </w:pPr>
      <w:r>
        <w:rPr>
          <w:rStyle w:val="ColorGray"/>
        </w:rPr>
        <w:t xml:space="preserve">⟨7⟩</w:t>
      </w:r>
      <w:r>
        <w:t xml:space="preserve"> </w:t>
      </w:r>
      <w:r>
        <w:t xml:space="preserve">Adyā(p)i ⬦</w:t>
      </w:r>
      <w:r>
        <w:t xml:space="preserve"> </w:t>
      </w:r>
      <w:r>
        <w:rPr>
          <w:rStyle w:val="ColorGreen"/>
          <w:i/>
          <w:iCs/>
        </w:rPr>
        <w:t xml:space="preserve">sva-hr̥di</w:t>
      </w:r>
      <w:r>
        <w:t xml:space="preserve"> </w:t>
      </w:r>
      <w:r>
        <w:t xml:space="preserve">GC.</w:t>
      </w:r>
    </w:p>
    <w:p>
      <w:pPr>
        <w:pStyle w:val="BodyText"/>
      </w:pPr>
      <w:r>
        <w:rPr>
          <w:rStyle w:val="ColorGray"/>
        </w:rPr>
        <w:t xml:space="preserve">⟨10⟩</w:t>
      </w:r>
      <w:r>
        <w:t xml:space="preserve"> </w:t>
      </w:r>
      <w:r>
        <w:t xml:space="preserve">tasyāvanī[⏑⏑⏑]ter • In a footnote, Cœdès suggests restoring the sequence as</w:t>
      </w:r>
      <w:r>
        <w:t xml:space="preserve"> </w:t>
      </w:r>
      <w:r>
        <w:rPr>
          <w:i/>
          <w:iCs/>
        </w:rPr>
        <w:t xml:space="preserve">tasyāvanīdharapater</w:t>
      </w:r>
      <w:r>
        <w:t xml:space="preserve">.</w:t>
      </w:r>
    </w:p>
    <w:p>
      <w:pPr>
        <w:pStyle w:val="BodyText"/>
      </w:pPr>
      <w:r>
        <w:rPr>
          <w:rStyle w:val="ColorGray"/>
        </w:rPr>
        <w:t xml:space="preserve">⟨12⟩</w:t>
      </w:r>
      <w:r>
        <w:t xml:space="preserve"> </w:t>
      </w:r>
      <w:r>
        <w:t xml:space="preserve">-vikra[meṇa] ⬦</w:t>
      </w:r>
      <w:r>
        <w:t xml:space="preserve"> </w:t>
      </w:r>
      <w:r>
        <w:rPr>
          <w:rStyle w:val="ColorGreen"/>
          <w:i/>
          <w:iCs/>
        </w:rPr>
        <w:t xml:space="preserve">-vikra[mena]</w:t>
      </w:r>
      <w:r>
        <w:t xml:space="preserve"> </w:t>
      </w:r>
      <w:r>
        <w:t xml:space="preserve">GC.</w:t>
      </w:r>
    </w:p>
    <w:p>
      <w:pPr>
        <w:pStyle w:val="BodyText"/>
      </w:pPr>
      <w:r>
        <w:rPr>
          <w:rStyle w:val="ColorGray"/>
        </w:rPr>
        <w:t xml:space="preserve">⟨16⟩</w:t>
      </w:r>
      <w:r>
        <w:t xml:space="preserve"> </w:t>
      </w:r>
      <w:r>
        <w:t xml:space="preserve">vicitair ⬦</w:t>
      </w:r>
      <w:r>
        <w:t xml:space="preserve"> </w:t>
      </w:r>
      <w:r>
        <w:rPr>
          <w:rStyle w:val="ColorGreen"/>
          <w:i/>
          <w:iCs/>
        </w:rPr>
        <w:t xml:space="preserve">vicitrair</w:t>
      </w:r>
      <w:r>
        <w:t xml:space="preserve"> </w:t>
      </w:r>
      <w:r>
        <w:t xml:space="preserve">GC • Cœdès’ reading is unmetrical. The correct reading was noted by @@@!!!!Goodall forthcoming (Evans/Stark Encycolpedia)</w:t>
      </w:r>
    </w:p>
    <w:p>
      <w:pPr>
        <w:pStyle w:val="BodyText"/>
      </w:pPr>
      <w:r>
        <w:rPr>
          <w:rStyle w:val="ColorGray"/>
        </w:rPr>
        <w:t xml:space="preserve">⟨22⟩</w:t>
      </w:r>
      <w:r>
        <w:t xml:space="preserve"> </w:t>
      </w:r>
      <w:r>
        <w:t xml:space="preserve">guṇāhva[yas](ya) ⬦</w:t>
      </w:r>
      <w:r>
        <w:t xml:space="preserve"> </w:t>
      </w:r>
      <w:r>
        <w:rPr>
          <w:rStyle w:val="ColorGreen"/>
          <w:i/>
          <w:iCs/>
        </w:rPr>
        <w:t xml:space="preserve">guṇāhva[–⏓]</w:t>
      </w:r>
      <w:r>
        <w:t xml:space="preserve"> </w:t>
      </w:r>
      <w:r>
        <w:t xml:space="preserve">GC • A trace of a subscript</w:t>
      </w:r>
      <w:r>
        <w:t xml:space="preserve"> </w:t>
      </w:r>
      <w:r>
        <w:rPr>
          <w:i/>
          <w:iCs/>
        </w:rPr>
        <w:t xml:space="preserve">y</w:t>
      </w:r>
      <w:r>
        <w:t xml:space="preserve"> </w:t>
      </w:r>
      <w:r>
        <w:t xml:space="preserve">seems visible on estampage EFEO n. 15. Possible alternatives:</w:t>
      </w:r>
      <w:r>
        <w:t xml:space="preserve"> </w:t>
      </w:r>
      <w:r>
        <w:rPr>
          <w:i/>
          <w:iCs/>
        </w:rPr>
        <w:t xml:space="preserve">guṇāhvayāptam·</w:t>
      </w:r>
      <w:r>
        <w:t xml:space="preserve">,</w:t>
      </w:r>
      <w:r>
        <w:t xml:space="preserve"> </w:t>
      </w:r>
      <w:r>
        <w:rPr>
          <w:i/>
          <w:iCs/>
        </w:rPr>
        <w:t xml:space="preserve">guṇāhvayāttam·</w:t>
      </w:r>
      <w:r>
        <w:t xml:space="preserve">,</w:t>
      </w:r>
      <w:r>
        <w:t xml:space="preserve"> </w:t>
      </w:r>
      <w:r>
        <w:rPr>
          <w:i/>
          <w:iCs/>
        </w:rPr>
        <w:t xml:space="preserve">guṇāhvayārttham·</w:t>
      </w:r>
      <w:r>
        <w:t xml:space="preserve">.</w:t>
      </w:r>
    </w:p>
    <w:p>
      <w:pPr>
        <w:pStyle w:val="Heading1"/>
      </w:pPr>
      <w:r>
        <w:t xml:space="preserve">Translation</w:t>
      </w:r>
    </w:p>
    <w:p>
      <w:pPr>
        <w:pStyle w:val="FirstParagraph"/>
      </w:pPr>
      <w:r>
        <w:t xml:space="preserve">1.</w:t>
      </w:r>
    </w:p>
    <w:p>
      <w:pPr>
        <w:pStyle w:val="BodyText"/>
      </w:pPr>
      <w:r>
        <w:t xml:space="preserve">[…]</w:t>
      </w:r>
    </w:p>
    <w:p>
      <w:pPr>
        <w:pStyle w:val="BodyText"/>
      </w:pPr>
      <w:r>
        <w:t xml:space="preserve">2.</w:t>
      </w:r>
    </w:p>
    <w:p>
      <w:pPr>
        <w:pStyle w:val="BodyText"/>
      </w:pPr>
      <w:r>
        <w:t xml:space="preserve">... his ... favour ... the king ...; even the ocean of milk which was deprived of its water because of his hands, [became like] a pool of ambrosia.</w:t>
      </w:r>
    </w:p>
    <w:p>
      <w:pPr>
        <w:pStyle w:val="BodyText"/>
      </w:pPr>
      <w:r>
        <w:t xml:space="preserve">3.</w:t>
      </w:r>
    </w:p>
    <w:p>
      <w:pPr>
        <w:pStyle w:val="BodyText"/>
      </w:pPr>
      <w:r>
        <w:t xml:space="preserve">... in the battle-field with the king named Vīra ... the four-arm [god/goddess] (caturbhuja) ...</w:t>
      </w:r>
    </w:p>
    <w:p>
      <w:pPr>
        <w:pStyle w:val="BodyText"/>
      </w:pPr>
      <w:r>
        <w:t xml:space="preserve">4.</w:t>
      </w:r>
    </w:p>
    <w:p>
      <w:pPr>
        <w:pStyle w:val="BodyText"/>
      </w:pPr>
      <w:r>
        <w:t xml:space="preserve">... in his heart ... [he] kills ... the burned garden ...</w:t>
      </w:r>
    </w:p>
    <w:p>
      <w:pPr>
        <w:pStyle w:val="BodyText"/>
      </w:pPr>
      <w:r>
        <w:t xml:space="preserve">5.</w:t>
      </w:r>
    </w:p>
    <w:p>
      <w:pPr>
        <w:pStyle w:val="BodyText"/>
      </w:pPr>
      <w:r>
        <w:t xml:space="preserve">... lotus ..., on the earth, ... all ... enemy troops ..., he established, in the world, numerous [images] of the god satisfied with wealth.</w:t>
      </w:r>
    </w:p>
    <w:p>
      <w:pPr>
        <w:pStyle w:val="BodyText"/>
      </w:pPr>
      <w:r>
        <w:t xml:space="preserve">6.</w:t>
      </w:r>
    </w:p>
    <w:p>
      <w:pPr>
        <w:pStyle w:val="BodyText"/>
      </w:pPr>
      <w:r>
        <w:t xml:space="preserve">The king’s [son] was ... great [and] intelligent namely Guṇavarman ... a cherished and pleasing [daughter???] ... with ... gait ... nice belt ... was born.</w:t>
      </w:r>
    </w:p>
    <w:p>
      <w:pPr>
        <w:pStyle w:val="BodyText"/>
      </w:pPr>
      <w:r>
        <w:t xml:space="preserve">7.</w:t>
      </w:r>
    </w:p>
    <w:p>
      <w:pPr>
        <w:pStyle w:val="BodyText"/>
      </w:pPr>
      <w:r>
        <w:t xml:space="preserve">The king’s son, despite his young age, on account of his vertu and valour, was appointed head of a district/region conquered in the mud by the glorious king with victorious gait of Vikramin? and being a moon of the lineage of Kauṇḍinya.</w:t>
      </w:r>
    </w:p>
    <w:p>
      <w:pPr>
        <w:pStyle w:val="BodyText"/>
      </w:pPr>
      <w:r>
        <w:t xml:space="preserve">8.</w:t>
      </w:r>
    </w:p>
    <w:p>
      <w:pPr>
        <w:pStyle w:val="BodyText"/>
      </w:pPr>
      <w:r>
        <w:t xml:space="preserve">This sole of the feet of Bhagavat ... hands of his mother was installed on the earth by him. His form of incomparable brightness indeed ... by him ... He does not wish any other images on earth.</w:t>
      </w:r>
    </w:p>
    <w:p>
      <w:pPr>
        <w:pStyle w:val="BodyText"/>
      </w:pPr>
      <w:r>
        <w:t xml:space="preserve">9.</w:t>
      </w:r>
    </w:p>
    <w:p>
      <w:pPr>
        <w:pStyle w:val="BodyText"/>
      </w:pPr>
      <w:r>
        <w:t xml:space="preserve">On the eighth day, the [sages] well-versed in the Śruti gave a name known on earth as Cakratīrthasvāmī to this image which had been consecrated by the eminent Brahmins, well-versed in the compiled Upaveda, Veda and Vedāṅga and comparable to demi-gods.</w:t>
      </w:r>
    </w:p>
    <w:p>
      <w:pPr>
        <w:pStyle w:val="BodyText"/>
      </w:pPr>
      <w:r>
        <w:t xml:space="preserve">10.</w:t>
      </w:r>
    </w:p>
    <w:p>
      <w:pPr>
        <w:pStyle w:val="BodyText"/>
      </w:pPr>
      <w:r>
        <w:t xml:space="preserve">May a devotee toward [this god] who dwells or even only enters this place of [god] Cakratīrtha[svāmī], a pious [establishment] of [king] Guṇavarman, vertuous, full of devotion and generous, be liberated from one’s evil deeds ⟨and⟩ reach the supreme abode of Viṣṇu.</w:t>
      </w:r>
    </w:p>
    <w:p>
      <w:pPr>
        <w:pStyle w:val="BodyText"/>
      </w:pPr>
      <w:r>
        <w:t xml:space="preserve">11.</w:t>
      </w:r>
    </w:p>
    <w:p>
      <w:pPr>
        <w:pStyle w:val="BodyText"/>
      </w:pPr>
      <w:r>
        <w:t xml:space="preserve">Whatever is given to the Lord (</w:t>
      </w:r>
      <w:r>
        <w:rPr>
          <w:i/>
          <w:iCs/>
        </w:rPr>
        <w:t xml:space="preserve">bhagavant</w:t>
      </w:r>
      <w:r>
        <w:t xml:space="preserve">, i.e. Viṣṇu) by ⟨King⟩ Guṇavarman, with Dharma in view, in conformance with ⟨his⟩ capacity, is to be enjoyed in accordance with the rules by the Bhāgavata Brahmins (or the Bhāgavatas and the Brahmins), those who are poor and without protection as well as those who officiate there. Those who otherwise make use of it must, ⟨being considered as⟩ fallen because of the five cardinal sins, be brought to Yama’s hell.</w:t>
      </w:r>
    </w:p>
    <w:p>
      <w:pPr>
        <w:pStyle w:val="BodyText"/>
      </w:pPr>
      <w:r>
        <w:t xml:space="preserve">12.</w:t>
      </w:r>
    </w:p>
    <w:p>
      <w:pPr>
        <w:pStyle w:val="BodyText"/>
      </w:pPr>
      <w:r>
        <w:t xml:space="preserve">May any great soul who increases this property of the Lord, ⟨donation⟩ of the one named Guṇa⟨varman⟩, having attained the supreme abode of Viṣṇu, obtain the same merit and great glory as he.</w:t>
      </w:r>
    </w:p>
    <w:p>
      <w:pPr>
        <w:pStyle w:val="Heading1"/>
      </w:pPr>
      <w:r>
        <w:t xml:space="preserve">Translation by Goodall 2023</w:t>
      </w:r>
    </w:p>
    <w:p>
      <w:pPr>
        <w:pStyle w:val="FirstParagraph"/>
      </w:pPr>
      <w:r>
        <w:t xml:space="preserve">9.</w:t>
      </w:r>
    </w:p>
    <w:p>
      <w:pPr>
        <w:pStyle w:val="BodyText"/>
      </w:pPr>
      <w:r>
        <w:t xml:space="preserve">On the eighth day, those skilled (</w:t>
      </w:r>
      <w:r>
        <w:rPr>
          <w:i/>
          <w:iCs/>
        </w:rPr>
        <w:t xml:space="preserve">pravīṇāḥ</w:t>
      </w:r>
      <w:r>
        <w:t xml:space="preserve">) in the Vedas (</w:t>
      </w:r>
      <w:r>
        <w:rPr>
          <w:i/>
          <w:iCs/>
        </w:rPr>
        <w:t xml:space="preserve">śrutiṣu</w:t>
      </w:r>
      <w:r>
        <w:t xml:space="preserve">) pronounced the name Cakratīrthasvāin, famous on earth, for this ⟨image of Viṣṇu⟩ (</w:t>
      </w:r>
      <w:r>
        <w:rPr>
          <w:i/>
          <w:iCs/>
        </w:rPr>
        <w:t xml:space="preserve">asya</w:t>
      </w:r>
      <w:r>
        <w:t xml:space="preserve">), which was consecrated (</w:t>
      </w:r>
      <w:r>
        <w:rPr>
          <w:i/>
          <w:iCs/>
        </w:rPr>
        <w:t xml:space="preserve">saṁskāritasya</w:t>
      </w:r>
      <w:r>
        <w:t xml:space="preserve">) by select (</w:t>
      </w:r>
      <w:r>
        <w:rPr>
          <w:i/>
          <w:iCs/>
        </w:rPr>
        <w:t xml:space="preserve">vicitaiḥ</w:t>
      </w:r>
      <w:r>
        <w:t xml:space="preserve">) nole brahmins (</w:t>
      </w:r>
      <w:r>
        <w:rPr>
          <w:i/>
          <w:iCs/>
        </w:rPr>
        <w:t xml:space="preserve">dvijendraiḥ</w:t>
      </w:r>
      <w:r>
        <w:t xml:space="preserve">) similar to the gods (</w:t>
      </w:r>
      <w:r>
        <w:rPr>
          <w:i/>
          <w:iCs/>
        </w:rPr>
        <w:t xml:space="preserve">amarapratimaiḥ</w:t>
      </w:r>
      <w:r>
        <w:t xml:space="preserve">), who know the ⟨four⟩</w:t>
      </w:r>
      <w:r>
        <w:t xml:space="preserve"> </w:t>
      </w:r>
      <w:r>
        <w:rPr>
          <w:i/>
          <w:iCs/>
        </w:rPr>
        <w:t xml:space="preserve">upavedas</w:t>
      </w:r>
      <w:r>
        <w:t xml:space="preserve">, the ⟨six⟩ Vedas and the ⟨six⟩</w:t>
      </w:r>
      <w:r>
        <w:t xml:space="preserve"> </w:t>
      </w:r>
      <w:r>
        <w:rPr>
          <w:i/>
          <w:iCs/>
        </w:rPr>
        <w:t xml:space="preserve">vedāṅgas</w:t>
      </w:r>
      <w:r>
        <w:t xml:space="preserve">.</w:t>
      </w:r>
    </w:p>
    <w:p>
      <w:pPr>
        <w:pStyle w:val="Heading1"/>
      </w:pPr>
      <w:r>
        <w:t xml:space="preserve">Translation into French by Cœdès 1931</w:t>
      </w:r>
    </w:p>
    <w:p>
      <w:pPr>
        <w:pStyle w:val="FirstParagraph"/>
      </w:pPr>
      <w:r>
        <w:t xml:space="preserve">1.</w:t>
      </w:r>
    </w:p>
    <w:p>
      <w:pPr>
        <w:pStyle w:val="BodyText"/>
      </w:pPr>
      <w:r>
        <w:t xml:space="preserve">[…]</w:t>
      </w:r>
    </w:p>
    <w:p>
      <w:pPr>
        <w:pStyle w:val="BodyText"/>
      </w:pPr>
      <w:r>
        <w:t xml:space="preserve">2.</w:t>
      </w:r>
    </w:p>
    <w:p>
      <w:pPr>
        <w:pStyle w:val="BodyText"/>
      </w:pPr>
      <w:r>
        <w:t xml:space="preserve">[…] la faveur de celui […] le roi Ja[…] par le bras de qui l’Océan de lait lui-même, débarrassé de son eau, (fut transformé en) un lac d’ambroisie.</w:t>
      </w:r>
    </w:p>
    <w:p>
      <w:pPr>
        <w:pStyle w:val="BodyText"/>
      </w:pPr>
      <w:r>
        <w:t xml:space="preserve">3.</w:t>
      </w:r>
    </w:p>
    <w:p>
      <w:pPr>
        <w:pStyle w:val="BodyText"/>
      </w:pPr>
      <w:r>
        <w:t xml:space="preserve">[…] dans la bataille, avec le roi nommé Vīra […] Caturbhuja […]</w:t>
      </w:r>
    </w:p>
    <w:p>
      <w:pPr>
        <w:pStyle w:val="BodyText"/>
      </w:pPr>
      <w:r>
        <w:t xml:space="preserve">4.</w:t>
      </w:r>
    </w:p>
    <w:p>
      <w:pPr>
        <w:pStyle w:val="BodyText"/>
      </w:pPr>
      <w:r>
        <w:t xml:space="preserve">[…]</w:t>
      </w:r>
      <w:r>
        <w:t xml:space="preserve"> </w:t>
      </w:r>
      <w:r>
        <w:rPr>
          <w:i/>
          <w:iCs/>
        </w:rPr>
        <w:t xml:space="preserve">ārāma</w:t>
      </w:r>
      <w:r>
        <w:t xml:space="preserve"> </w:t>
      </w:r>
      <w:r>
        <w:t xml:space="preserve">détruit par le feu (?) […]</w:t>
      </w:r>
    </w:p>
    <w:p>
      <w:pPr>
        <w:pStyle w:val="BodyText"/>
      </w:pPr>
      <w:r>
        <w:t xml:space="preserve">5.</w:t>
      </w:r>
    </w:p>
    <w:p>
      <w:pPr>
        <w:pStyle w:val="BodyText"/>
      </w:pPr>
      <w:r>
        <w:t xml:space="preserve">[…] lotus […] sur la terre […] tous […] les troupes ennemies […] par lui furent fondés en ce moment d’innombrables (sanctuaires) de Bhagavat pourvus de richesses.</w:t>
      </w:r>
    </w:p>
    <w:p>
      <w:pPr>
        <w:pStyle w:val="BodyText"/>
      </w:pPr>
      <w:r>
        <w:t xml:space="preserve">6.</w:t>
      </w:r>
    </w:p>
    <w:p>
      <w:pPr>
        <w:pStyle w:val="BodyText"/>
      </w:pPr>
      <w:r>
        <w:t xml:space="preserve">Ce roi qui avait pris pour épouse une femme ravissante ayant une démarche […] et une belle ceinture, eut (un fils) nommé Guṇavarman, de qui l’âme était noble et l’intelligence […].</w:t>
      </w:r>
    </w:p>
    <w:p>
      <w:pPr>
        <w:pStyle w:val="BodyText"/>
      </w:pPr>
      <w:r>
        <w:t xml:space="preserve">7.</w:t>
      </w:r>
    </w:p>
    <w:p>
      <w:pPr>
        <w:pStyle w:val="BodyText"/>
      </w:pPr>
      <w:r>
        <w:t xml:space="preserve">Par le roi fortuné qui a la démarche victorieuse (?) de Vikramin et qui est la lune de la lignée de Kauṇḍinya, ce fils de roi, bien que jeune, a été, parce qu’il réunit en lui la vertu et la valeur, désigné comme chef d’un domaine religieux conquis sur la boue.</w:t>
      </w:r>
    </w:p>
    <w:p>
      <w:pPr>
        <w:pStyle w:val="BodyText"/>
      </w:pPr>
      <w:r>
        <w:t xml:space="preserve">8.</w:t>
      </w:r>
    </w:p>
    <w:p>
      <w:pPr>
        <w:pStyle w:val="BodyText"/>
      </w:pPr>
      <w:r>
        <w:t xml:space="preserve">Par ce (Guṇavarman) […] de sa propre mère, a été placée sur terre la plante des pieds de Bhagavat. Celui dont la représentation à l’éclat incomparable a été (fondée) par lui, ne désire pas d’autres images sur la terre.</w:t>
      </w:r>
    </w:p>
    <w:p>
      <w:pPr>
        <w:pStyle w:val="BodyText"/>
      </w:pPr>
      <w:r>
        <w:t xml:space="preserve">9.</w:t>
      </w:r>
    </w:p>
    <w:p>
      <w:pPr>
        <w:pStyle w:val="BodyText"/>
      </w:pPr>
      <w:r>
        <w:t xml:space="preserve">Le huitième jour, cette (image) consacrée par les divers brâhmanes connaissant les Veda, les Upaveda et les Vedāṅga, semblables aux immortels, a reçu des sages versés dans la Śruti le nom, proclamé sur la terre, de Cakratīrthasvāmin.</w:t>
      </w:r>
    </w:p>
    <w:p>
      <w:pPr>
        <w:pStyle w:val="BodyText"/>
      </w:pPr>
      <w:r>
        <w:t xml:space="preserve">10.</w:t>
      </w:r>
    </w:p>
    <w:p>
      <w:pPr>
        <w:pStyle w:val="BodyText"/>
      </w:pPr>
      <w:r>
        <w:t xml:space="preserve">Que l’homme dévot envers ce (dieu) qui habite ce lieu consacré à Śrī Cakratīrtha, oeuvre pie […] de Guṇavarman, vertueux, pieux et généreux; ou même que celui qui (seulement) y pénètre, aille au suprême séjour de Viṣṇu, l’esprit satisfait, délivré de son mauvais</w:t>
      </w:r>
      <w:r>
        <w:t xml:space="preserve"> </w:t>
      </w:r>
      <w:r>
        <w:rPr>
          <w:i/>
          <w:iCs/>
        </w:rPr>
        <w:t xml:space="preserve">karman</w:t>
      </w:r>
      <w:r>
        <w:t xml:space="preserve">.</w:t>
      </w:r>
    </w:p>
    <w:p>
      <w:pPr>
        <w:pStyle w:val="BodyText"/>
      </w:pPr>
      <w:r>
        <w:t xml:space="preserve">11.</w:t>
      </w:r>
    </w:p>
    <w:p>
      <w:pPr>
        <w:pStyle w:val="BodyText"/>
      </w:pPr>
      <w:r>
        <w:t xml:space="preserve">Ce qui a été donné à Bhagavat par Guṇavarman, avide de justice, doit être, en vertu de son ordre, à la disposition de tous les religieux Bhāgavatas, des malheureux sans protection et de ceux qui travaillent en cet endroit, conformément à la loi; quiconque détournera (ces biens) de leur usage tombera dans l’enfer de Yama avec ceux qui sont coupables de cinq grands crimes.</w:t>
      </w:r>
    </w:p>
    <w:p>
      <w:pPr>
        <w:pStyle w:val="BodyText"/>
      </w:pPr>
      <w:r>
        <w:t xml:space="preserve">12.</w:t>
      </w:r>
    </w:p>
    <w:p>
      <w:pPr>
        <w:pStyle w:val="BodyText"/>
      </w:pPr>
      <w:r>
        <w:t xml:space="preserve">Que l’âme noble qui fera prospérer ici les biens de Bhagavat […] ayant atteint le séjour suprême de Viṣṇu et acquis une grande renommée, jouisse de la félicité.</w:t>
      </w:r>
    </w:p>
    <w:p>
      <w:pPr>
        <w:pStyle w:val="Heading1"/>
      </w:pPr>
      <w:r>
        <w:t xml:space="preserve">Commentary</w:t>
      </w:r>
    </w:p>
    <w:p>
      <w:pPr>
        <w:pStyle w:val="FirstParagraph"/>
      </w:pPr>
      <w:r>
        <w:t xml:space="preserve">Regarding the stanzas 4 and 12, the space which separates the</w:t>
      </w:r>
      <w:r>
        <w:t xml:space="preserve"> </w:t>
      </w:r>
      <w:r>
        <w:rPr>
          <w:i/>
          <w:iCs/>
        </w:rPr>
        <w:t xml:space="preserve">pāda</w:t>
      </w:r>
      <w:r>
        <w:t xml:space="preserve">s b and c is bigger than those between the</w:t>
      </w:r>
      <w:r>
        <w:t xml:space="preserve"> </w:t>
      </w:r>
      <w:r>
        <w:rPr>
          <w:i/>
          <w:iCs/>
        </w:rPr>
        <w:t xml:space="preserve">pāda</w:t>
      </w:r>
      <w:r>
        <w:t xml:space="preserve">s a and b, and c and d.</w:t>
      </w:r>
    </w:p>
    <w:p>
      <w:pPr>
        <w:pStyle w:val="Heading1"/>
      </w:pPr>
      <w:r>
        <w:t xml:space="preserve">Bibliography</w:t>
      </w:r>
    </w:p>
    <w:p>
      <w:pPr>
        <w:pStyle w:val="FirstParagraph"/>
      </w:pPr>
      <w:r>
        <w:t xml:space="preserve">First edited by George Cœdès (1931, pp. 5–8) with a French translation; re-edited partly by Dominic Goodall (2023, p. 8) with English translation; re-edited here by Kunthea Chhom &amp; Arlo Griffiths from estampage EFEO n. 15.</w:t>
      </w:r>
    </w:p>
    <w:p>
      <w:pPr>
        <w:pStyle w:val="Heading2"/>
      </w:pPr>
      <w:r>
        <w:t xml:space="preserve">Primary</w:t>
      </w:r>
    </w:p>
    <w:p>
      <w:pPr>
        <w:pStyle w:val="FirstParagraph"/>
      </w:pPr>
      <w:r>
        <w:rPr>
          <w:b/>
          <w:bCs/>
        </w:rPr>
        <w:t xml:space="preserve">[GC]</w:t>
      </w:r>
      <w:r>
        <w:t xml:space="preserve"> </w:t>
      </w:r>
      <w:r>
        <w:t xml:space="preserve">Cœdès, George. 1931. “Études cambodgiennes, XXV: Deux inscriptions sanskrites du Fou-nan; XXVI: La date de Kòḥ Ker; XXVII: La date du Bàphûon.” BEFEO 31 (1-2), pp. 1–23. DOI:</w:t>
      </w:r>
      <w:r>
        <w:t xml:space="preserve"> </w:t>
      </w:r>
      <w:hyperlink r:id="rId13">
        <w:r>
          <w:rPr>
            <w:rStyle w:val="Hyperlink"/>
          </w:rPr>
          <w:t xml:space="preserve">10.3406/befeo.1931.4415</w:t>
        </w:r>
      </w:hyperlink>
      <w:r>
        <w:t xml:space="preserve">.</w:t>
      </w:r>
      <w:r>
        <w:t xml:space="preserve"> </w:t>
      </w:r>
      <w:hyperlink r:id="rId14">
        <w:r>
          <w:rPr>
            <w:rStyle w:val="Hyperlink"/>
          </w:rPr>
          <w:t xml:space="preserve">[URL]</w:t>
        </w:r>
      </w:hyperlink>
      <w:r>
        <w:t xml:space="preserve">. Pages 5–8.</w:t>
      </w:r>
    </w:p>
    <w:p>
      <w:pPr>
        <w:pStyle w:val="BodyText"/>
      </w:pPr>
      <w:r>
        <w:rPr>
          <w:b/>
          <w:bCs/>
        </w:rPr>
        <w:t xml:space="preserve">[DG]</w:t>
      </w:r>
      <w:r>
        <w:t xml:space="preserve"> </w:t>
      </w:r>
      <w:r>
        <w:t xml:space="preserve">Goodall, Dominic. 2023.</w:t>
      </w:r>
      <w:r>
        <w:t xml:space="preserve"> </w:t>
      </w:r>
      <w:r>
        <w:rPr>
          <w:i/>
          <w:iCs/>
        </w:rPr>
        <w:t xml:space="preserve">Kālidāsa’s Kingship among the Khmers</w:t>
      </w:r>
      <w:r>
        <w:t xml:space="preserve">. Gonda Lecture 29. Amsterdam: Koninklijke Nederlandse Akademie van Wetenschappen.</w:t>
      </w:r>
      <w:r>
        <w:t xml:space="preserve"> </w:t>
      </w:r>
      <w:hyperlink r:id="rId15">
        <w:r>
          <w:rPr>
            <w:rStyle w:val="Hyperlink"/>
          </w:rPr>
          <w:t xml:space="preserve">[URL]</w:t>
        </w:r>
      </w:hyperlink>
      <w:r>
        <w:t xml:space="preserve">. Page 8.</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4" Target="http://www.persee.fr/web/revues/home/prescript/article/befeo_0336-1519_1931_num_31_1_4415" TargetMode="External" /><Relationship Type="http://schemas.openxmlformats.org/officeDocument/2006/relationships/hyperlink" Id="rId11" Target="https://dharmalekha.info/prosody#prosody-115" TargetMode="External" /><Relationship Type="http://schemas.openxmlformats.org/officeDocument/2006/relationships/hyperlink" Id="rId10" Target="https://dharmalekha.info/prosody#prosody-169" TargetMode="External" /><Relationship Type="http://schemas.openxmlformats.org/officeDocument/2006/relationships/hyperlink" Id="rId12" Target="https://dharmalekha.info/prosody#prosody-62" TargetMode="External" /><Relationship Type="http://schemas.openxmlformats.org/officeDocument/2006/relationships/hyperlink" Id="rId9" Target="https://dharmalekha.info/prosody#prosody-91" TargetMode="External" /><Relationship Type="http://schemas.openxmlformats.org/officeDocument/2006/relationships/hyperlink" Id="rId13" Target="https://doi.org/10.3406/befeo.1931.4415" TargetMode="External" /><Relationship Type="http://schemas.openxmlformats.org/officeDocument/2006/relationships/hyperlink" Id="rId15" Target="https://www.knaw.nl/en/publications/kalidasas-kingship-among-khmers" TargetMode="External" /></Relationships>
</file>

<file path=word/_rels/footnotes.xml.rels><?xml version="1.0" encoding="UTF-8"?><Relationships xmlns="http://schemas.openxmlformats.org/package/2006/relationships"><Relationship Type="http://schemas.openxmlformats.org/officeDocument/2006/relationships/hyperlink" Id="rId14" Target="http://www.persee.fr/web/revues/home/prescript/article/befeo_0336-1519_1931_num_31_1_4415" TargetMode="External" /><Relationship Type="http://schemas.openxmlformats.org/officeDocument/2006/relationships/hyperlink" Id="rId11" Target="https://dharmalekha.info/prosody#prosody-115" TargetMode="External" /><Relationship Type="http://schemas.openxmlformats.org/officeDocument/2006/relationships/hyperlink" Id="rId10" Target="https://dharmalekha.info/prosody#prosody-169" TargetMode="External" /><Relationship Type="http://schemas.openxmlformats.org/officeDocument/2006/relationships/hyperlink" Id="rId12" Target="https://dharmalekha.info/prosody#prosody-62" TargetMode="External" /><Relationship Type="http://schemas.openxmlformats.org/officeDocument/2006/relationships/hyperlink" Id="rId9" Target="https://dharmalekha.info/prosody#prosody-91" TargetMode="External" /><Relationship Type="http://schemas.openxmlformats.org/officeDocument/2006/relationships/hyperlink" Id="rId13" Target="https://doi.org/10.3406/befeo.1931.4415" TargetMode="External" /><Relationship Type="http://schemas.openxmlformats.org/officeDocument/2006/relationships/hyperlink" Id="rId15" Target="https://www.knaw.nl/en/publications/kalidasas-kingship-among-khmers"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 5. Doorjamb of Thap Muoi, Prasat Pram Loveng, 5th century Śaka</dc:title>
  <dc:creator>Kunthea Chhom, Dominic Goodall and Arlo Griffiths</dc:creator>
  <cp:keywords/>
  <dcterms:created xsi:type="dcterms:W3CDTF">2026-10-26T13:59:45Z</dcterms:created>
  <dcterms:modified xsi:type="dcterms:W3CDTF">2026-10-26T13:59:45Z</dcterms:modified>
</cp:coreProperties>
</file>

<file path=docProps/custom.xml><?xml version="1.0" encoding="utf-8"?>
<Properties xmlns="http://schemas.openxmlformats.org/officeDocument/2006/custom-properties" xmlns:vt="http://schemas.openxmlformats.org/officeDocument/2006/docPropsVTypes"/>
</file>