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Stele at Hòn Đỏ (C. 210), 972 Śaka</w:t>
      </w:r>
    </w:p>
    <w:p>
      <w:pPr>
        <w:pStyle w:val="Author"/>
      </w:pPr>
      <w:r>
        <w:t xml:space="preserve">Arlo Griffiths and Salomé Pichon</w:t>
      </w:r>
    </w:p>
    <w:p>
      <w:pPr>
        <w:pStyle w:val="FirstParagraph"/>
      </w:pPr>
      <w:r>
        <w:t xml:space="preserve">Authors of digital edition: Arlo Griffiths, Salomé Pichon</w:t>
      </w:r>
    </w:p>
    <w:p>
      <w:pPr>
        <w:pStyle w:val="BodyText"/>
      </w:pPr>
      <w:r>
        <w:t xml:space="preserve">Identifier: DHARMA_INSCIC00210</w:t>
      </w:r>
    </w:p>
    <w:p>
      <w:pPr>
        <w:pStyle w:val="BodyText"/>
      </w:pPr>
      <w:r>
        <w:t xml:space="preserve">Repository: Campā (tfc-campa-epigraphy)</w:t>
      </w:r>
    </w:p>
    <w:p>
      <w:pPr>
        <w:pStyle w:val="BodyText"/>
      </w:pPr>
      <w:r>
        <w:t xml:space="preserve">File path: xml/DHARMA_INSCIC00210.xml</w:t>
      </w:r>
    </w:p>
    <w:p>
      <w:pPr>
        <w:pStyle w:val="BodyText"/>
      </w:pPr>
      <w:r>
        <w:t xml:space="preserve">Languages: Old Cham [Cam], Sanskrit [Cam]</w:t>
      </w:r>
    </w:p>
    <w:p>
      <w:pPr>
        <w:pStyle w:val="BodyText"/>
      </w:pPr>
      <w:r>
        <w:t xml:space="preserve">Commit: 2026-09-19 07:34 (e13d61a), last modified 2026-09-16 06:32 (d2f72d3)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Exceptional form of</w:t>
      </w:r>
      <w:r>
        <w:t xml:space="preserve"> </w:t>
      </w:r>
      <w:r>
        <w:rPr>
          <w:i/>
          <w:iCs/>
        </w:rPr>
        <w:t xml:space="preserve">virāma</w:t>
      </w:r>
      <w:r>
        <w:t xml:space="preserve">, in D4, and exceptional form of -</w:t>
      </w:r>
      <w:r>
        <w:rPr>
          <w:i/>
          <w:iCs/>
        </w:rPr>
        <w:t xml:space="preserve">ā</w:t>
      </w:r>
      <w:r>
        <w:t xml:space="preserve"> </w:t>
      </w:r>
      <w:r>
        <w:t xml:space="preserve">on face D.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⟨Face A⟩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⟨A01⟩</w:t>
      </w:r>
      <w:r>
        <w:rPr>
          <w:rStyle w:val="ColorGray"/>
        </w:rPr>
        <w:t xml:space="preserve"> </w:t>
      </w:r>
      <w:r>
        <w:t xml:space="preserve">∥⦾∥ svasti∥⦾∥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t xml:space="preserve">tasya śrī-parameśvarasya n</w:t>
      </w:r>
      <w:r>
        <w:rPr>
          <w:rStyle w:val="ColorRed"/>
        </w:rPr>
        <w:t xml:space="preserve">¿ra?</w:t>
      </w:r>
      <w:r>
        <w:rPr>
          <w:rStyle w:val="ColorGreen"/>
        </w:rPr>
        <w:t xml:space="preserve">⟨r̥⟩</w:t>
      </w:r>
      <w:r>
        <w:rPr>
          <w:rStyle w:val="ColorGray"/>
        </w:rPr>
        <w:t xml:space="preserve">⟨A2⟩</w:t>
      </w:r>
      <w:r>
        <w:t xml:space="preserve">pater bbhrātrī-sutas sad-guṇī</w:t>
      </w:r>
      <w:r>
        <w:br/>
      </w:r>
      <w:r>
        <w:t xml:space="preserve">nāmnā śrī-yu</w:t>
      </w:r>
      <w:r>
        <w:rPr>
          <w:rStyle w:val="ColorGray"/>
        </w:rPr>
        <w:t xml:space="preserve">⟨A3⟩</w:t>
      </w:r>
      <w:r>
        <w:t xml:space="preserve">va-rāja Eva su-pr̥thag-bhāvādi-karmmodyamaḥ</w:t>
      </w:r>
      <w:r>
        <w:br/>
      </w:r>
      <w:r>
        <w:t xml:space="preserve">nā</w:t>
      </w:r>
      <w:r>
        <w:rPr>
          <w:rStyle w:val="ColorGray"/>
        </w:rPr>
        <w:t xml:space="preserve">⟨A4⟩</w:t>
      </w:r>
      <w:r>
        <w:t xml:space="preserve">nā-dāna-makhotsavas tv api śive yoge śiva</w:t>
      </w:r>
      <w:r>
        <w:rPr>
          <w:rStyle w:val="ColorGray"/>
        </w:rPr>
        <w:t xml:space="preserve">⟨A5⟩</w:t>
      </w:r>
      <w:r>
        <w:t xml:space="preserve">-(sth)[e] padāny</w:t>
      </w:r>
      <w:r>
        <w:br/>
      </w:r>
      <w:r>
        <w:t xml:space="preserve">apy ātmānam ayan tato ⟨’⟩dhikataras so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⟨A6⟩</w:t>
      </w:r>
      <w:r>
        <w:rPr>
          <w:rStyle w:val="ColorGray"/>
        </w:rPr>
        <w:t xml:space="preserve"> </w:t>
      </w:r>
      <w:r>
        <w:t xml:space="preserve">⟨’⟩śnoti san-mānase ∥꩜∥</w:t>
      </w:r>
    </w:p>
    <w:p>
      <w:pPr>
        <w:pStyle w:val="BodyText"/>
      </w:pPr>
      <w:r>
        <w:t xml:space="preserve">2.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kara-śela-vilair yyu</w:t>
      </w:r>
      <w:r>
        <w:rPr>
          <w:rStyle w:val="ColorGray"/>
        </w:rPr>
        <w:t xml:space="preserve">⟨A7⟩</w:t>
      </w:r>
      <w:r>
        <w:t xml:space="preserve">kte</w:t>
      </w:r>
      <w:r>
        <w:br/>
      </w:r>
      <w:r>
        <w:t xml:space="preserve">śaka-rāje śilāmayam·</w:t>
      </w:r>
      <w:r>
        <w:br/>
      </w:r>
      <w:r>
        <w:t xml:space="preserve">liṅgaṁ sustham araṅ kī</w:t>
      </w:r>
      <w:r>
        <w:rPr>
          <w:rStyle w:val="ColorGray"/>
        </w:rPr>
        <w:t xml:space="preserve">⟨A8⟩</w:t>
      </w:r>
      <w:r>
        <w:t xml:space="preserve">rttyai</w:t>
      </w:r>
      <w:r>
        <w:br/>
      </w:r>
      <w:r>
        <w:t xml:space="preserve">(s)thāpayām āsa so ⟨’⟩dhikaḥ ∥꩜∥</w:t>
      </w:r>
    </w:p>
    <w:p>
      <w:pPr>
        <w:pStyle w:val="BodyText"/>
      </w:pPr>
      <w:r>
        <w:rPr>
          <w:rStyle w:val="ColorGray"/>
        </w:rPr>
        <w:t xml:space="preserve">⟨Face 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⟨B1⟩</w:t>
      </w:r>
      <w:r>
        <w:rPr>
          <w:rStyle w:val="ColorGray"/>
        </w:rPr>
        <w:t xml:space="preserve"> </w:t>
      </w:r>
      <w:r>
        <w:t xml:space="preserve">[ma]dā pu-lyam̃ śrī yuvarāja mahāsenāpati yam̃</w:t>
      </w:r>
      <w:r>
        <w:rPr>
          <w:rStyle w:val="ColorGray"/>
        </w:rPr>
        <w:t xml:space="preserve">⟨B2⟩</w:t>
      </w:r>
      <w:r>
        <w:t xml:space="preserve">ṅ· kumvan· yām̃ po ku ⟨śrī⟩ parameśvaravarmmadeva du</w:t>
      </w:r>
      <w:r>
        <w:rPr>
          <w:rStyle w:val="ColorGray"/>
        </w:rPr>
        <w:t xml:space="preserve">⟨B3⟩</w:t>
      </w:r>
      <w:r>
        <w:t xml:space="preserve">(na)n· trā kevala-dharmma dauk· rajan· puṇyadāna ṅan·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⟨B4⟩</w:t>
      </w:r>
      <w:r>
        <w:rPr>
          <w:rStyle w:val="ColorGray"/>
        </w:rPr>
        <w:t xml:space="preserve"> </w:t>
      </w:r>
      <w:r>
        <w:t xml:space="preserve">hitāhi(ta)vastu kam̃n· bhāva ni(m̃) sadākāla dunan· tum̃ sarvvaśāstrā</w:t>
      </w:r>
      <w:r>
        <w:rPr>
          <w:rStyle w:val="ColorGray"/>
        </w:rPr>
        <w:t xml:space="preserve">⟨B5⟩</w:t>
      </w:r>
      <w:r>
        <w:t xml:space="preserve">gama sidaḥ śaiva-saugata-siddhānta-kulā(vdhi)ma dunan· kevala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⟨B6⟩</w:t>
      </w:r>
      <w:r>
        <w:rPr>
          <w:rStyle w:val="ColorGray"/>
        </w:rPr>
        <w:t xml:space="preserve"> </w:t>
      </w:r>
      <w:r>
        <w:t xml:space="preserve">d(au)k· rajan· guru-bhakti ṅan· śiva-bhakti maddan· yoga-dhyāna-samā</w:t>
      </w:r>
      <w:r>
        <w:rPr>
          <w:rStyle w:val="ColorGray"/>
        </w:rPr>
        <w:t xml:space="preserve">⟨B7⟩</w:t>
      </w:r>
      <w:r>
        <w:t xml:space="preserve">dhi Upak· vela Udā(sī)na suhetu (du)nan(·) kmaiṅ· ya</w:t>
      </w:r>
      <w:r>
        <w:rPr>
          <w:rStyle w:val="ColorGray"/>
        </w:rPr>
        <w:t xml:space="preserve">⟨B8⟩</w:t>
      </w:r>
      <w:r>
        <w:t xml:space="preserve">śa dauk· palavvīk· di loka (nim̃ t)ra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⟨B9⟩</w:t>
      </w:r>
      <w:r>
        <w:rPr>
          <w:rStyle w:val="ColorGray"/>
        </w:rPr>
        <w:t xml:space="preserve"> </w:t>
      </w:r>
      <w:r>
        <w:t xml:space="preserve">dunan· makmaim̃ nīrvvāṇa-pada (ta/ku) yam̃ Ajarāmaraṇa kaivalya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C⟩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⟨C1⟩</w:t>
      </w:r>
      <w:r>
        <w:rPr>
          <w:rStyle w:val="ColorGray"/>
        </w:rPr>
        <w:t xml:space="preserve"> </w:t>
      </w:r>
      <w:r>
        <w:t xml:space="preserve">nirvvikāra paramānandana niṣprapañca si jem̃ dunan·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⟨C2⟩</w:t>
      </w:r>
      <w:r>
        <w:rPr>
          <w:rStyle w:val="ColorGray"/>
        </w:rPr>
        <w:t xml:space="preserve"> </w:t>
      </w:r>
      <w:r>
        <w:t xml:space="preserve">Utsāha dauk· di vastu nan· sadākāla Upak· vela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⟨C3⟩</w:t>
      </w:r>
      <w:r>
        <w:rPr>
          <w:rStyle w:val="ColorGray"/>
        </w:rPr>
        <w:t xml:space="preserve"> </w:t>
      </w:r>
      <w:r>
        <w:t xml:space="preserve">Udāsīna sā nimiśamātra mam̃n· la Oḥ suhetu Urām̃ panrām̃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⟨C4⟩</w:t>
      </w:r>
      <w:r>
        <w:rPr>
          <w:rStyle w:val="ColorGray"/>
        </w:rPr>
        <w:t xml:space="preserve"> </w:t>
      </w:r>
      <w:r>
        <w:t xml:space="preserve">nim̃ ñu Adhama paputau Urām̃ di nagara nim̃ si jem̃ ra vā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⟨C5⟩</w:t>
      </w:r>
      <w:r>
        <w:rPr>
          <w:rStyle w:val="ColorGray"/>
        </w:rPr>
        <w:t xml:space="preserve"> </w:t>
      </w:r>
      <w:r>
        <w:t xml:space="preserve">vala marai mak· tmuv· nagara niy· niśśeṣa Aviḥ mam̃n·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⟨C6⟩</w:t>
      </w:r>
      <w:r>
        <w:rPr>
          <w:rStyle w:val="ColorGray"/>
        </w:rPr>
        <w:t xml:space="preserve"> </w:t>
      </w:r>
      <w:r>
        <w:t xml:space="preserve">ra pratiṣṭhā liṅga jayastambha dvā niy· di A</w:t>
      </w:r>
      <w:r>
        <w:rPr>
          <w:rStyle w:val="ColorGray"/>
        </w:rPr>
        <w:t xml:space="preserve">⟨C7⟩</w:t>
      </w:r>
      <w:r>
        <w:t xml:space="preserve">jvañ· sauy· tra di huluv· glai cnyā la</w:t>
      </w:r>
      <w:r>
        <w:rPr>
          <w:rStyle w:val="ColorGray"/>
        </w:rPr>
        <w:t xml:space="preserve">⟨C8⟩</w:t>
      </w:r>
      <w:r>
        <w:t xml:space="preserve">c· Uttara-bhāga deḥ bharuv· ra vriy·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⟨C9⟩</w:t>
      </w:r>
      <w:r>
        <w:rPr>
          <w:rStyle w:val="ColorGray"/>
        </w:rPr>
        <w:t xml:space="preserve"> </w:t>
      </w:r>
      <w:r>
        <w:t xml:space="preserve">dāna kam̃n· brāhmaṇa tapasmī bhikṣu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⟨C10⟩</w:t>
      </w:r>
      <w:r>
        <w:rPr>
          <w:rStyle w:val="ColorGray"/>
        </w:rPr>
        <w:t xml:space="preserve"> </w:t>
      </w:r>
      <w:r>
        <w:t xml:space="preserve">ṅan· hīna-dīnā-nātha Avista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D⟩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⟨D1⟩</w:t>
      </w:r>
      <w:r>
        <w:rPr>
          <w:rStyle w:val="ColorGray"/>
        </w:rPr>
        <w:t xml:space="preserve"> </w:t>
      </w:r>
      <w:r>
        <w:t xml:space="preserve">bharuv· ra vrok· nau vijai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⟨D2⟩</w:t>
      </w:r>
      <w:r>
        <w:rPr>
          <w:rStyle w:val="ColorGray"/>
        </w:rPr>
        <w:t xml:space="preserve"> </w:t>
      </w:r>
      <w:r>
        <w:t xml:space="preserve">di huriy· sa pluḥ dvā klaṁ vulān· pā</w:t>
      </w:r>
      <w:r>
        <w:rPr>
          <w:rStyle w:val="ColorGray"/>
        </w:rPr>
        <w:t xml:space="preserve">⟨D3⟩</w:t>
      </w:r>
      <w:r>
        <w:t xml:space="preserve">k· di śakarāja 972 kāla ra prati</w:t>
      </w:r>
      <w:r>
        <w:rPr>
          <w:rStyle w:val="ColorGray"/>
        </w:rPr>
        <w:t xml:space="preserve">⟨D4⟩</w:t>
      </w:r>
      <w:r>
        <w:t xml:space="preserve">ṣṭhā liṅga niy· ∥꩜∥</w:t>
      </w:r>
    </w:p>
    <w:p>
      <w:pPr>
        <w:pStyle w:val="BodyText"/>
      </w:pPr>
      <w:r>
        <w:t xml:space="preserve">nan· vvana śrī yuva</w:t>
      </w:r>
      <w:r>
        <w:rPr>
          <w:rStyle w:val="ColorGray"/>
        </w:rPr>
        <w:t xml:space="preserve">⟨D5⟩</w:t>
      </w:r>
      <w:r>
        <w:t xml:space="preserve">rāja sāna ya mahāsenāpati kāla na[n·]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⟨D6⟩</w:t>
      </w:r>
      <w:r>
        <w:rPr>
          <w:rStyle w:val="ColorGray"/>
        </w:rPr>
        <w:t xml:space="preserve"> </w:t>
      </w:r>
      <w:r>
        <w:t xml:space="preserve">ṅan· hr̥ rūpa sukūla tyāga karuṇā pa[1+]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⟨D7⟩</w:t>
      </w:r>
      <w:r>
        <w:rPr>
          <w:rStyle w:val="ColorGray"/>
        </w:rPr>
        <w:t xml:space="preserve"> </w:t>
      </w:r>
      <w:r>
        <w:t xml:space="preserve">[2+] pi [1+] yoga-dhyāna-samādhi śila</w:t>
      </w:r>
      <w:r>
        <w:rPr>
          <w:rStyle w:val="ColorGray"/>
        </w:rPr>
        <w:t xml:space="preserve">⟨D8⟩</w:t>
      </w:r>
      <w:r>
        <w:t xml:space="preserve">paḥ _ | kāla ri phap· drim̃ ṅan·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⟨D9⟩</w:t>
      </w:r>
      <w:r>
        <w:rPr>
          <w:rStyle w:val="ColorGray"/>
        </w:rPr>
        <w:t xml:space="preserve"> </w:t>
      </w:r>
      <w:r>
        <w:t xml:space="preserve">ma[ca. 2+] vyalī yaśa [1+]raive bo</w:t>
      </w:r>
      <w:r>
        <w:rPr>
          <w:rStyle w:val="ColorGray"/>
        </w:rPr>
        <w:t xml:space="preserve">⟨D10⟩</w:t>
      </w:r>
      <w:r>
        <w:t xml:space="preserve">dhisa(t)[v]a na mam̃n· [∥]⦾∥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⟨A1⟩</w:t>
      </w:r>
      <w:r>
        <w:t xml:space="preserve"> </w:t>
      </w:r>
      <w:r>
        <w:t xml:space="preserve">n</w:t>
      </w:r>
      <w:r>
        <w:rPr>
          <w:rStyle w:val="ColorRed"/>
        </w:rPr>
        <w:t xml:space="preserve">¿ra?</w:t>
      </w:r>
      <w:r>
        <w:rPr>
          <w:rStyle w:val="ColorGreen"/>
        </w:rPr>
        <w:t xml:space="preserve">⟨r̥⟩</w:t>
      </w:r>
      <w:r>
        <w:t xml:space="preserve">pater ⬦</w:t>
      </w:r>
      <w:r>
        <w:t xml:space="preserve"> </w:t>
      </w:r>
      <w:r>
        <w:rPr>
          <w:rStyle w:val="ColorGreen"/>
          <w:i/>
          <w:iCs/>
        </w:rPr>
        <w:t xml:space="preserve">nr̥pater</w:t>
      </w:r>
      <w:r>
        <w:t xml:space="preserve"> </w:t>
      </w:r>
      <w:r>
        <w:t xml:space="preserve">S.</w:t>
      </w:r>
    </w:p>
    <w:p>
      <w:pPr>
        <w:pStyle w:val="BodyText"/>
      </w:pPr>
      <w:r>
        <w:rPr>
          <w:rStyle w:val="ColorGray"/>
        </w:rPr>
        <w:t xml:space="preserve">⟨A4⟩</w:t>
      </w:r>
      <w:r>
        <w:t xml:space="preserve"> </w:t>
      </w:r>
      <w:r>
        <w:t xml:space="preserve">nānādānamakhotsavas ⬦</w:t>
      </w:r>
      <w:r>
        <w:t xml:space="preserve"> </w:t>
      </w:r>
      <w:r>
        <w:rPr>
          <w:rStyle w:val="ColorGreen"/>
          <w:i/>
          <w:iCs/>
        </w:rPr>
        <w:t xml:space="preserve">nānādānamalotsavas</w:t>
      </w:r>
      <w:r>
        <w:t xml:space="preserve"> </w:t>
      </w:r>
      <w:r>
        <w:t xml:space="preserve">S • With note indicating that one would have to read</w:t>
      </w:r>
      <w:r>
        <w:t xml:space="preserve"> </w:t>
      </w:r>
      <w:r>
        <w:rPr>
          <w:i/>
          <w:iCs/>
        </w:rPr>
        <w:t xml:space="preserve">mahotsavas</w:t>
      </w:r>
      <w:r>
        <w:t xml:space="preserve">; being based on a wrong reading, we may forget this proposal.</w:t>
      </w:r>
    </w:p>
    <w:p>
      <w:pPr>
        <w:pStyle w:val="BodyText"/>
      </w:pPr>
      <w:r>
        <w:rPr>
          <w:rStyle w:val="ColorGray"/>
        </w:rPr>
        <w:t xml:space="preserve">⟨B5⟩</w:t>
      </w:r>
      <w:r>
        <w:t xml:space="preserve"> </w:t>
      </w:r>
      <w:r>
        <w:t xml:space="preserve">-kulā(vdhi)ma ⬦</w:t>
      </w:r>
      <w:r>
        <w:t xml:space="preserve"> </w:t>
      </w:r>
      <w:r>
        <w:rPr>
          <w:rStyle w:val="ColorGreen"/>
          <w:i/>
          <w:iCs/>
        </w:rPr>
        <w:t xml:space="preserve">(kulāgdhima)</w:t>
      </w:r>
      <w:r>
        <w:t xml:space="preserve"> </w:t>
      </w:r>
      <w:r>
        <w:t xml:space="preserve">S • Read -</w:t>
      </w:r>
      <w:r>
        <w:rPr>
          <w:i/>
          <w:iCs/>
        </w:rPr>
        <w:t xml:space="preserve">kulāgama</w:t>
      </w:r>
      <w:r>
        <w:t xml:space="preserve"> </w:t>
      </w:r>
      <w:r>
        <w:t xml:space="preserve">or -</w:t>
      </w:r>
      <w:r>
        <w:rPr>
          <w:i/>
          <w:iCs/>
        </w:rPr>
        <w:t xml:space="preserve">kulāvdhimada</w:t>
      </w:r>
      <w:r>
        <w:t xml:space="preserve">?</w:t>
      </w:r>
    </w:p>
    <w:p>
      <w:pPr>
        <w:pStyle w:val="BodyText"/>
      </w:pPr>
      <w:r>
        <w:rPr>
          <w:rStyle w:val="ColorGray"/>
        </w:rPr>
        <w:t xml:space="preserve">⟨C9⟩</w:t>
      </w:r>
      <w:r>
        <w:t xml:space="preserve"> </w:t>
      </w:r>
      <w:r>
        <w:t xml:space="preserve">tapasmī ⬦</w:t>
      </w:r>
      <w:r>
        <w:t xml:space="preserve"> </w:t>
      </w:r>
      <w:r>
        <w:rPr>
          <w:rStyle w:val="ColorGreen"/>
          <w:i/>
          <w:iCs/>
        </w:rPr>
        <w:t xml:space="preserve">tapasvī</w:t>
      </w:r>
      <w:r>
        <w:t xml:space="preserve"> </w:t>
      </w:r>
      <w:r>
        <w:t xml:space="preserve">S • The intended meaning is no doubt</w:t>
      </w:r>
      <w:r>
        <w:t xml:space="preserve"> </w:t>
      </w:r>
      <w:r>
        <w:rPr>
          <w:i/>
          <w:iCs/>
        </w:rPr>
        <w:t xml:space="preserve">tapasvī</w:t>
      </w:r>
      <w:r>
        <w:t xml:space="preserve">, but the stone clearly reads</w:t>
      </w:r>
      <w:r>
        <w:t xml:space="preserve"> </w:t>
      </w:r>
      <w:r>
        <w:rPr>
          <w:i/>
          <w:iCs/>
        </w:rPr>
        <w:t xml:space="preserve">tapasmī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⟨D3⟩</w:t>
      </w:r>
      <w:r>
        <w:t xml:space="preserve"> </w:t>
      </w:r>
      <w:r>
        <w:t xml:space="preserve">972 ⬦</w:t>
      </w:r>
      <w:r>
        <w:t xml:space="preserve"> </w:t>
      </w:r>
      <w:r>
        <w:rPr>
          <w:rStyle w:val="ColorGreen"/>
          <w:i/>
          <w:iCs/>
        </w:rPr>
        <w:t xml:space="preserve">279</w:t>
      </w:r>
      <w:r>
        <w:t xml:space="preserve"> </w:t>
      </w:r>
      <w:r>
        <w:t xml:space="preserve">S • The fact that Schweyer misrepresents the order of the numbers also in her edition of C. 156 in the same article suggests this is no accident.</w:t>
      </w:r>
    </w:p>
    <w:p>
      <w:pPr>
        <w:pStyle w:val="BodyText"/>
      </w:pPr>
      <w:r>
        <w:rPr>
          <w:rStyle w:val="ColorGray"/>
        </w:rPr>
        <w:t xml:space="preserve">⟨D4⟩</w:t>
      </w:r>
      <w:r>
        <w:t xml:space="preserve"> </w:t>
      </w:r>
      <w:r>
        <w:t xml:space="preserve">nan·vvana ⬦</w:t>
      </w:r>
      <w:r>
        <w:t xml:space="preserve"> </w:t>
      </w:r>
      <w:r>
        <w:rPr>
          <w:rStyle w:val="ColorGreen"/>
          <w:i/>
          <w:iCs/>
        </w:rPr>
        <w:t xml:space="preserve">nanvvan</w:t>
      </w:r>
      <w:r>
        <w:t xml:space="preserve"> </w:t>
      </w:r>
      <w:r>
        <w:t xml:space="preserve">S • The word</w:t>
      </w:r>
      <w:r>
        <w:t xml:space="preserve"> </w:t>
      </w:r>
      <w:r>
        <w:rPr>
          <w:i/>
          <w:iCs/>
        </w:rPr>
        <w:t xml:space="preserve">navvan</w:t>
      </w:r>
      <w:r>
        <w:t xml:space="preserve"> </w:t>
      </w:r>
      <w:r>
        <w:t xml:space="preserve">occurs several times in the corpus. We seem to have a spelling mistake for that word.</w:t>
      </w:r>
    </w:p>
    <w:p>
      <w:pPr>
        <w:pStyle w:val="BodyText"/>
      </w:pPr>
      <w:r>
        <w:rPr>
          <w:rStyle w:val="ColorGray"/>
        </w:rPr>
        <w:t xml:space="preserve">⟨D5⟩</w:t>
      </w:r>
      <w:r>
        <w:t xml:space="preserve"> </w:t>
      </w:r>
      <w:r>
        <w:t xml:space="preserve">na[n·] ṅan· hr̥ rūpa sukūla ⬦</w:t>
      </w:r>
      <w:r>
        <w:t xml:space="preserve"> </w:t>
      </w:r>
      <w:r>
        <w:rPr>
          <w:rStyle w:val="ColorGreen"/>
          <w:i/>
          <w:iCs/>
        </w:rPr>
        <w:t xml:space="preserve">na [4+] pa su kūla</w:t>
      </w:r>
      <w:r>
        <w:t xml:space="preserve"> </w:t>
      </w:r>
      <w:r>
        <w:t xml:space="preserve">S • Understand</w:t>
      </w:r>
      <w:r>
        <w:t xml:space="preserve"> </w:t>
      </w:r>
      <w:r>
        <w:rPr>
          <w:i/>
          <w:iCs/>
        </w:rPr>
        <w:t xml:space="preserve">hr̥</w:t>
      </w:r>
      <w:r>
        <w:t xml:space="preserve"> </w:t>
      </w:r>
      <w:r>
        <w:t xml:space="preserve">as</w:t>
      </w:r>
      <w:r>
        <w:t xml:space="preserve"> </w:t>
      </w:r>
      <w:r>
        <w:rPr>
          <w:i/>
          <w:iCs/>
        </w:rPr>
        <w:t xml:space="preserve">hrī</w:t>
      </w:r>
      <w:r>
        <w:t xml:space="preserve">,</w:t>
      </w:r>
      <w:r>
        <w:t xml:space="preserve"> </w:t>
      </w:r>
      <w:r>
        <w:rPr>
          <w:i/>
          <w:iCs/>
        </w:rPr>
        <w:t xml:space="preserve">sukūla</w:t>
      </w:r>
      <w:r>
        <w:t xml:space="preserve"> </w:t>
      </w:r>
      <w:r>
        <w:t xml:space="preserve">as</w:t>
      </w:r>
      <w:r>
        <w:t xml:space="preserve"> </w:t>
      </w:r>
      <w:r>
        <w:rPr>
          <w:i/>
          <w:iCs/>
        </w:rPr>
        <w:t xml:space="preserve">sukula</w:t>
      </w:r>
      <w:r>
        <w:t xml:space="preserve">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That king Śrī Parameśvara’s sister’s son, simply called Śrī Yuvarāja, endowed with good qualities, whose foremost zeal in action (</w:t>
      </w:r>
      <w:r>
        <w:rPr>
          <w:i/>
          <w:iCs/>
        </w:rPr>
        <w:t xml:space="preserve">ādikarmodyama</w:t>
      </w:r>
      <w:r>
        <w:t xml:space="preserve">) is for full deliverance (</w:t>
      </w:r>
      <w:r>
        <w:rPr>
          <w:i/>
          <w:iCs/>
        </w:rPr>
        <w:t xml:space="preserve">sur̥thagbhāva</w:t>
      </w:r>
      <w:r>
        <w:t xml:space="preserve">), who organizes a variety of donations, sacrifices and festivals — he furthermore attains levels in the auspicious</w:t>
      </w:r>
      <w:r>
        <w:t xml:space="preserve"> </w:t>
      </w:r>
      <w:r>
        <w:rPr>
          <w:i/>
          <w:iCs/>
        </w:rPr>
        <w:t xml:space="preserve">yoga</w:t>
      </w:r>
      <w:r>
        <w:t xml:space="preserve"> </w:t>
      </w:r>
      <w:r>
        <w:t xml:space="preserve">that resides in Śiva, and beyond that the Self, in his mind characterized ⟨only⟩ by Sat⟨tva⟩.</w:t>
      </w:r>
    </w:p>
    <w:p>
      <w:pPr>
        <w:pStyle w:val="BodyText"/>
      </w:pPr>
      <w:r>
        <w:t xml:space="preserve">2.</w:t>
      </w:r>
    </w:p>
    <w:p>
      <w:pPr>
        <w:pStyle w:val="BodyText"/>
      </w:pPr>
      <w:r>
        <w:t xml:space="preserve">When the Śaka-king was connected with (2) hands, (7) mountains and (9) orifices (i.e., in 972 Śaka), that excellent one properly installed a stable landmark (</w:t>
      </w:r>
      <w:r>
        <w:rPr>
          <w:i/>
          <w:iCs/>
        </w:rPr>
        <w:t xml:space="preserve">liṅga</w:t>
      </w:r>
      <w:r>
        <w:t xml:space="preserve">), made of stone, for glory.</w:t>
      </w:r>
    </w:p>
    <w:p>
      <w:pPr>
        <w:pStyle w:val="BodyText"/>
      </w:pPr>
      <w:r>
        <w:t xml:space="preserve">There was a prince, heir apparent, great general, who was nephew of his majesty Parameśvaravarmadeva. And he, solely focused on</w:t>
      </w:r>
      <w:r>
        <w:t xml:space="preserve"> </w:t>
      </w:r>
      <w:r>
        <w:rPr>
          <w:i/>
          <w:iCs/>
        </w:rPr>
        <w:t xml:space="preserve">dharma</w:t>
      </w:r>
      <w:r>
        <w:t xml:space="preserve">, was busy carrying out meritorious donations ...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⟨C10⟩</w:t>
      </w:r>
      <w:r>
        <w:t xml:space="preserve"> </w:t>
      </w:r>
      <w:r>
        <w:t xml:space="preserve">Inspection of the stone shows that no sign is missing at the beginning of this lign, but that an irregularity of the stone explains the shift of the margin.</w:t>
      </w:r>
    </w:p>
    <w:p>
      <w:pPr>
        <w:pStyle w:val="BodyText"/>
      </w:pPr>
      <w:r>
        <w:rPr>
          <w:rStyle w:val="ColorGray"/>
        </w:rPr>
        <w:t xml:space="preserve">⟨D9–D10⟩</w:t>
      </w:r>
      <w:r>
        <w:t xml:space="preserve"> </w:t>
      </w:r>
      <w:r>
        <w:t xml:space="preserve">AVS has not read these lines.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with translation into French by Anne-Valérie Schweyer (2009, pp. 25–33). The inscription is re-edited here by Arlo Griffiths and Salomé Pichon based on autopsy and the EFEO estampages n. 1878, n. 1879, n. 1880, n. 1881 and n. 1882.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[S]</w:t>
      </w:r>
      <w:r>
        <w:t xml:space="preserve"> </w:t>
      </w:r>
      <w:r>
        <w:t xml:space="preserve">Schweyer, Anne-Valérie. 2009. “Les royaumes du pays cam dans la seconde moitié du XIe siècle.”</w:t>
      </w:r>
      <w:r>
        <w:t xml:space="preserve"> </w:t>
      </w:r>
      <w:r>
        <w:rPr>
          <w:i/>
          <w:iCs/>
        </w:rPr>
        <w:t xml:space="preserve">Péninsule</w:t>
      </w:r>
      <w:r>
        <w:t xml:space="preserve"> </w:t>
      </w:r>
      <w:r>
        <w:t xml:space="preserve">59, pp. 17–48. Pages 25–33.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Jacques, Claude. 1975–1976. “Épigraphie de l’Inde et de l’Asie du Sud-Est.” EPHEA, pp. 945–953. Pages 948–953.</w:t>
      </w:r>
    </w:p>
    <w:p>
      <w:pPr>
        <w:pStyle w:val="BodyText"/>
      </w:pPr>
      <w:r>
        <w:t xml:space="preserve">Schweyer, Anne-Valérie. 2005. “Les sources épigraphiques.” In:</w:t>
      </w:r>
      <w:r>
        <w:t xml:space="preserve"> </w:t>
      </w:r>
      <w:r>
        <w:rPr>
          <w:i/>
          <w:iCs/>
        </w:rPr>
        <w:t xml:space="preserve">Trésors d’art du Vietnam : La sculpture du Champa V</w:t>
      </w:r>
      <w:r>
        <w:rPr>
          <w:i/>
          <w:iCs/>
          <w:vertAlign w:val="superscript"/>
        </w:rPr>
        <w:t xml:space="preserve">e</w:t>
      </w:r>
      <w:r>
        <w:rPr>
          <w:i/>
          <w:iCs/>
        </w:rPr>
        <w:t xml:space="preserve">-XV</w:t>
      </w:r>
      <w:r>
        <w:rPr>
          <w:i/>
          <w:iCs/>
          <w:vertAlign w:val="superscript"/>
        </w:rPr>
        <w:t xml:space="preserve">e</w:t>
      </w:r>
      <w:r>
        <w:rPr>
          <w:i/>
          <w:iCs/>
        </w:rPr>
        <w:t xml:space="preserve"> </w:t>
      </w:r>
      <w:r>
        <w:rPr>
          <w:i/>
          <w:iCs/>
        </w:rPr>
        <w:t xml:space="preserve">siècles</w:t>
      </w:r>
      <w:r>
        <w:t xml:space="preserve">. Edited by Pierre Baptiste &amp; Thierry Zéphir. Paris: Réunion des musées nationaux &amp; Musée des arts asiatiques Guimet, pp. 36–47. Pages 36–47.</w:t>
      </w:r>
      <w:r>
        <w:rPr>
          <w:rStyle w:val="FootnoteReference"/>
        </w:rPr>
        <w:footnoteReference w:id="11"/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Referred to as C. 211.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15" TargetMode="External" /><Relationship Type="http://schemas.openxmlformats.org/officeDocument/2006/relationships/hyperlink" Id="rId10" Target="https://dharmalekha.info/prosody#prosody-1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15" TargetMode="External" /><Relationship Type="http://schemas.openxmlformats.org/officeDocument/2006/relationships/hyperlink" Id="rId10" Target="https://dharmalekha.info/prosody#prosody-16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Stele at Hòn Đỏ (C. 210), 972 Śaka</dc:title>
  <dc:creator>Arlo Griffiths and Salomé Pichon</dc:creator>
  <cp:keywords/>
  <dcterms:created xsi:type="dcterms:W3CDTF">2026-10-26T17:52:23Z</dcterms:created>
  <dcterms:modified xsi:type="dcterms:W3CDTF">2026-10-26T17:52:23Z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