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Bottom part of architectural crown from Khánh Lễ (C. 175), ca. 10th c. CE</w:t>
      </w:r>
    </w:p>
    <w:p>
      <w:pPr>
        <w:pStyle w:val="FirstParagraph"/>
      </w:pPr>
      <w:r>
        <w:t xml:space="preserve">Contributor: Arlo Griffiths</w:t>
      </w:r>
    </w:p>
    <w:p>
      <w:pPr>
        <w:pStyle w:val="BodyText"/>
      </w:pPr>
      <w:r>
        <w:t xml:space="preserve">Identifier: DHARMA_INSCIC00175</w:t>
      </w:r>
    </w:p>
    <w:p>
      <w:pPr>
        <w:pStyle w:val="BodyText"/>
      </w:pPr>
      <w:r>
        <w:t xml:space="preserve">Repository: Campā (tfc-campa-epigraphy)</w:t>
      </w:r>
    </w:p>
    <w:p>
      <w:pPr>
        <w:pStyle w:val="BodyText"/>
      </w:pPr>
      <w:r>
        <w:t xml:space="preserve">File path: xml/DHARMA_INSCIC00175.xml</w:t>
      </w:r>
    </w:p>
    <w:p>
      <w:pPr>
        <w:pStyle w:val="BodyText"/>
      </w:pPr>
      <w:r>
        <w:t xml:space="preserve">Language: Sanskrit [Cam]</w:t>
      </w:r>
    </w:p>
    <w:p>
      <w:pPr>
        <w:pStyle w:val="BodyText"/>
      </w:pPr>
      <w:r>
        <w:t xml:space="preserve">Commit: 2026-09-19 07:34 (e13d61a), last modified 2026-09-16 06:32 (d2f72d3)</w:t>
      </w:r>
    </w:p>
    <w:p>
      <w:r>
        <w:pict>
          <v:rect style="width:0;height:1.5pt" o:hralign="center" o:hrstd="t" o:hr="t"/>
        </w:pict>
      </w:r>
    </w:p>
    <w:p>
      <w:pPr>
        <w:pStyle w:val="Heading1"/>
      </w:pPr>
      <w:r>
        <w:t xml:space="preserve">Edition</w:t>
      </w:r>
    </w:p>
    <w:p>
      <w:pPr>
        <w:pStyle w:val="FirstParagraph"/>
      </w:pPr>
      <w:r>
        <w:rPr>
          <w:rStyle w:val="ColorGray"/>
        </w:rPr>
        <w:t xml:space="preserve"> </w:t>
      </w:r>
      <w:r>
        <w:rPr>
          <w:rStyle w:val="ColorGray"/>
        </w:rPr>
        <w:t xml:space="preserve">⟨1⟩</w:t>
      </w:r>
      <w:r>
        <w:rPr>
          <w:rStyle w:val="ColorGray"/>
        </w:rPr>
        <w:t xml:space="preserve"> </w:t>
      </w:r>
      <w:r>
        <w:rPr>
          <w:rStyle w:val="ColorGray"/>
        </w:rPr>
        <w:t xml:space="preserve"> </w:t>
      </w:r>
      <w:r>
        <w:rPr>
          <w:rStyle w:val="ColorGray"/>
        </w:rPr>
        <w:t xml:space="preserve">⟨Face 1⟩</w:t>
      </w:r>
      <w:r>
        <w:rPr>
          <w:rStyle w:val="ColorGray"/>
        </w:rPr>
        <w:t xml:space="preserve"> </w:t>
      </w:r>
      <w:r>
        <w:t xml:space="preserve">⦿ Oṁ</w:t>
      </w:r>
    </w:p>
    <w:p>
      <w:pPr>
        <w:pStyle w:val="BodyText"/>
      </w:pPr>
      <w:r>
        <w:t xml:space="preserve">1.</w:t>
      </w:r>
      <w:r>
        <w:t xml:space="preserve"> </w:t>
      </w:r>
      <w:hyperlink r:id="rId9">
        <w:r>
          <w:rPr>
            <w:rStyle w:val="Hyperlink"/>
          </w:rPr>
          <w:t xml:space="preserve">Anuṣṭubh</w:t>
        </w:r>
      </w:hyperlink>
    </w:p>
    <w:p>
      <w:pPr>
        <w:pStyle w:val="BodyText"/>
      </w:pPr>
      <w:r>
        <w:t xml:space="preserve">jaimani</w:t>
      </w:r>
      <w:r>
        <w:rPr>
          <w:rStyle w:val="ColorGray"/>
        </w:rPr>
        <w:t xml:space="preserve">⟨Face 2⟩</w:t>
      </w:r>
      <w:r>
        <w:t xml:space="preserve">ñ ca s</w:t>
      </w:r>
      <w:r>
        <w:rPr>
          <w:rStyle w:val="ColorRed"/>
        </w:rPr>
        <w:t xml:space="preserve">¿a?</w:t>
      </w:r>
      <w:r>
        <w:rPr>
          <w:rStyle w:val="ColorGreen"/>
        </w:rPr>
        <w:t xml:space="preserve">⟨u⟩</w:t>
      </w:r>
      <w:r>
        <w:t xml:space="preserve">mantañ ca</w:t>
      </w:r>
      <w:r>
        <w:br/>
      </w:r>
      <w:r>
        <w:rPr>
          <w:rStyle w:val="ColorGray"/>
        </w:rPr>
        <w:t xml:space="preserve">⟨Face 3⟩</w:t>
      </w:r>
      <w:r>
        <w:rPr>
          <w:rStyle w:val="ColorGray"/>
        </w:rPr>
        <w:t xml:space="preserve"> </w:t>
      </w:r>
      <w:r>
        <w:t xml:space="preserve">vaiśampāya</w:t>
      </w:r>
      <w:r>
        <w:rPr>
          <w:rStyle w:val="ColorGray"/>
        </w:rPr>
        <w:t xml:space="preserve"> </w:t>
      </w:r>
      <w:r>
        <w:rPr>
          <w:rStyle w:val="ColorGray"/>
        </w:rPr>
        <w:t xml:space="preserve">⟨Face 4⟩</w:t>
      </w:r>
      <w:r>
        <w:rPr>
          <w:rStyle w:val="ColorGray"/>
        </w:rPr>
        <w:t xml:space="preserve"> </w:t>
      </w:r>
      <w:r>
        <w:t xml:space="preserve">nam eva ca |</w:t>
      </w:r>
      <w:r>
        <w:br/>
      </w:r>
      <w:r>
        <w:rPr>
          <w:rStyle w:val="ColorGray"/>
        </w:rPr>
        <w:t xml:space="preserve">⟨Face 5⟩</w:t>
      </w:r>
      <w:r>
        <w:rPr>
          <w:rStyle w:val="ColorGray"/>
        </w:rPr>
        <w:t xml:space="preserve"> </w:t>
      </w:r>
      <w:r>
        <w:t xml:space="preserve">yatra nāmāni</w:t>
      </w:r>
      <w:r>
        <w:rPr>
          <w:rStyle w:val="ColorGray"/>
        </w:rPr>
        <w:t xml:space="preserve"> </w:t>
      </w:r>
      <w:r>
        <w:rPr>
          <w:rStyle w:val="ColorGray"/>
        </w:rPr>
        <w:t xml:space="preserve">⟨Face 6⟩</w:t>
      </w:r>
      <w:r>
        <w:rPr>
          <w:rStyle w:val="ColorGray"/>
        </w:rPr>
        <w:t xml:space="preserve"> </w:t>
      </w:r>
      <w:r>
        <w:t xml:space="preserve">likhitāni</w:t>
      </w:r>
      <w:r>
        <w:br/>
      </w:r>
      <w:r>
        <w:t xml:space="preserve">na ta</w:t>
      </w:r>
      <w:r>
        <w:rPr>
          <w:rStyle w:val="ColorGray"/>
        </w:rPr>
        <w:t xml:space="preserve">⟨Face 7⟩</w:t>
      </w:r>
      <w:r>
        <w:t xml:space="preserve">trāśani-pāta</w:t>
      </w:r>
      <w:r>
        <w:rPr>
          <w:rStyle w:val="ColorGray"/>
        </w:rPr>
        <w:t xml:space="preserve">⟨Face 8⟩</w:t>
      </w:r>
      <w:r>
        <w:t xml:space="preserve">naṁ</w:t>
      </w:r>
    </w:p>
    <w:p>
      <w:pPr>
        <w:pStyle w:val="BodyText"/>
      </w:pPr>
      <w:r>
        <w:t xml:space="preserve">svāh</w:t>
      </w:r>
      <w:r>
        <w:rPr>
          <w:rStyle w:val="ColorRed"/>
        </w:rPr>
        <w:t xml:space="preserve">¿aḥ?</w:t>
      </w:r>
      <w:r>
        <w:rPr>
          <w:rStyle w:val="ColorGreen"/>
        </w:rPr>
        <w:t xml:space="preserve">⟨ā⟩</w:t>
      </w:r>
      <w:r>
        <w:t xml:space="preserve"> </w:t>
      </w:r>
      <w:r>
        <w:t xml:space="preserve">↝</w:t>
      </w:r>
    </w:p>
    <w:p>
      <w:pPr>
        <w:pStyle w:val="Heading1"/>
      </w:pPr>
      <w:r>
        <w:t xml:space="preserve">Apparatus</w:t>
      </w:r>
    </w:p>
    <w:p>
      <w:pPr>
        <w:pStyle w:val="FirstParagraph"/>
      </w:pPr>
      <w:r>
        <w:rPr>
          <w:rStyle w:val="ColorGray"/>
        </w:rPr>
        <w:t xml:space="preserve">⟨1⟩</w:t>
      </w:r>
      <w:r>
        <w:t xml:space="preserve"> </w:t>
      </w:r>
      <w:r>
        <w:t xml:space="preserve">tatrāśanipātanaṁ ⬦</w:t>
      </w:r>
      <w:r>
        <w:t xml:space="preserve"> </w:t>
      </w:r>
      <w:r>
        <w:rPr>
          <w:rStyle w:val="ColorGreen"/>
          <w:i/>
          <w:iCs/>
        </w:rPr>
        <w:t xml:space="preserve">tatrā</w:t>
      </w:r>
      <w:r>
        <w:rPr>
          <w:rStyle w:val="ColorRed"/>
          <w:i/>
          <w:iCs/>
        </w:rPr>
        <w:t xml:space="preserve">¿śavi?</w:t>
      </w:r>
      <w:r>
        <w:rPr>
          <w:rStyle w:val="ColorGreen"/>
          <w:i/>
          <w:iCs/>
        </w:rPr>
        <w:t xml:space="preserve">⟨śiva⟩</w:t>
      </w:r>
      <w:r>
        <w:rPr>
          <w:rStyle w:val="ColorGreen"/>
          <w:i/>
          <w:iCs/>
        </w:rPr>
        <w:t xml:space="preserve">pātanaṁ</w:t>
      </w:r>
      <w:r>
        <w:t xml:space="preserve"> </w:t>
      </w:r>
      <w:r>
        <w:t xml:space="preserve">CIC • The new reading adopted here was proposed to us by Somdev Vasudeva (email 2014-03-23) and is quite clearly corroborated by the corresponding estampage. Our published emendation</w:t>
      </w:r>
      <w:r>
        <w:t xml:space="preserve"> </w:t>
      </w:r>
      <w:r>
        <w:rPr>
          <w:i/>
          <w:iCs/>
        </w:rPr>
        <w:t xml:space="preserve">tatrāśivapātanaṁ</w:t>
      </w:r>
      <w:r>
        <w:t xml:space="preserve"> </w:t>
      </w:r>
      <w:r>
        <w:t xml:space="preserve">is hereby withdrawn.</w:t>
      </w:r>
    </w:p>
    <w:p>
      <w:pPr>
        <w:pStyle w:val="Heading1"/>
      </w:pPr>
      <w:r>
        <w:t xml:space="preserve">Translation</w:t>
      </w:r>
    </w:p>
    <w:p>
      <w:pPr>
        <w:pStyle w:val="FirstParagraph"/>
      </w:pPr>
      <w:r>
        <w:rPr>
          <w:i/>
          <w:iCs/>
        </w:rPr>
        <w:t xml:space="preserve">Om</w:t>
      </w:r>
      <w:r>
        <w:t xml:space="preserve">! ⟨I inscribe the names of⟩ Jaimani,</w:t>
      </w:r>
      <w:r>
        <w:rPr>
          <w:rStyle w:val="FootnoteReference"/>
        </w:rPr>
        <w:footnoteReference w:id="10"/>
      </w:r>
      <w:r>
        <w:t xml:space="preserve"> </w:t>
      </w:r>
      <w:r>
        <w:t xml:space="preserve">Sumantu and Vaiśampāyana. Wherever ⟨these⟩ names have been inscribed, there no lightning-strike will occur. Hail!</w:t>
      </w:r>
    </w:p>
    <w:p>
      <w:pPr>
        <w:pStyle w:val="Heading1"/>
      </w:pPr>
      <w:r>
        <w:t xml:space="preserve">Translation into French</w:t>
      </w:r>
    </w:p>
    <w:p>
      <w:pPr>
        <w:pStyle w:val="FirstParagraph"/>
      </w:pPr>
      <w:r>
        <w:rPr>
          <w:i/>
          <w:iCs/>
        </w:rPr>
        <w:t xml:space="preserve">Om</w:t>
      </w:r>
      <w:r>
        <w:t xml:space="preserve">! ⟨J’inscris les noms de⟩ Jaimani, ⟨de⟩ Sumantu et ⟨de⟩ Vaiśampāyana. Où ⟨lesdits⟩ noms sont inscrits, il n’y aura pas de coup de foudre. Salut!</w:t>
      </w:r>
    </w:p>
    <w:p>
      <w:pPr>
        <w:pStyle w:val="Heading1"/>
      </w:pPr>
      <w:r>
        <w:t xml:space="preserve">Commentary</w:t>
      </w:r>
    </w:p>
    <w:p>
      <w:pPr>
        <w:pStyle w:val="FirstParagraph"/>
      </w:pPr>
      <w:r>
        <w:t xml:space="preserve">Enclosed between the elements</w:t>
      </w:r>
      <w:r>
        <w:t xml:space="preserve"> </w:t>
      </w:r>
      <w:r>
        <w:rPr>
          <w:i/>
          <w:iCs/>
        </w:rPr>
        <w:t xml:space="preserve">oṁ</w:t>
      </w:r>
      <w:r>
        <w:t xml:space="preserve"> </w:t>
      </w:r>
      <w:r>
        <w:t xml:space="preserve">and</w:t>
      </w:r>
      <w:r>
        <w:t xml:space="preserve"> </w:t>
      </w:r>
      <w:r>
        <w:rPr>
          <w:i/>
          <w:iCs/>
        </w:rPr>
        <w:t xml:space="preserve">svāhaḥ</w:t>
      </w:r>
      <w:r>
        <w:t xml:space="preserve"> </w:t>
      </w:r>
      <w:r>
        <w:t xml:space="preserve">(for</w:t>
      </w:r>
      <w:r>
        <w:t xml:space="preserve"> </w:t>
      </w:r>
      <w:r>
        <w:rPr>
          <w:i/>
          <w:iCs/>
        </w:rPr>
        <w:t xml:space="preserve">svāhā</w:t>
      </w:r>
      <w:r>
        <w:t xml:space="preserve">), which are commonly used throughout the Hindu and Buddhist world to mark that the text enclosed is a mantra, we find a not entirely successful Anuṣṭubh stanza, which is not only metrically deficient but also grammatically awkward, with three names in the accusative case where we would rather expect nominative forms, although the meaning is clear. It would be easy to solve the mentioned grammatical akwardness by emending less conservatively:</w:t>
      </w:r>
      <w:r>
        <w:t xml:space="preserve"> </w:t>
      </w:r>
      <w:r>
        <w:rPr>
          <w:i/>
          <w:iCs/>
        </w:rPr>
        <w:t xml:space="preserve">jaimaniś ca sumantuś ca vaiśampāyana eva ca</w:t>
      </w:r>
      <w:r>
        <w:t xml:space="preserve">.</w:t>
      </w:r>
      <w:r>
        <w:rPr>
          <w:rStyle w:val="FootnoteReference"/>
        </w:rPr>
        <w:footnoteReference w:id="12"/>
      </w:r>
      <w:r>
        <w:t xml:space="preserve"> </w:t>
      </w:r>
      <w:r>
        <w:t xml:space="preserve">The metrical problem can be circumvented by accepting the license that the sequence of two short syllables in</w:t>
      </w:r>
      <w:r>
        <w:t xml:space="preserve"> </w:t>
      </w:r>
      <w:r>
        <w:rPr>
          <w:i/>
          <w:iCs/>
        </w:rPr>
        <w:t xml:space="preserve">likhitāni</w:t>
      </w:r>
      <w:r>
        <w:t xml:space="preserve"> </w:t>
      </w:r>
      <w:r>
        <w:t xml:space="preserve">be pronounced as one long syllable.</w:t>
      </w:r>
    </w:p>
    <w:p>
      <w:pPr>
        <w:pStyle w:val="BodyText"/>
      </w:pPr>
      <w:r>
        <w:t xml:space="preserve">For mythical background the three names Jaimani (or Jaimini), Sumantu and Vaiśampāyana, which are famous names of sages from the Sanskrit epic</w:t>
      </w:r>
      <w:r>
        <w:t xml:space="preserve"> </w:t>
      </w:r>
      <w:r>
        <w:rPr>
          <w:i/>
          <w:iCs/>
        </w:rPr>
        <w:t xml:space="preserve">Mahābhārata</w:t>
      </w:r>
      <w:r>
        <w:t xml:space="preserve">, disciples of its narrator Vyāsa, see</w:t>
      </w:r>
      <w:r>
        <w:t xml:space="preserve"> </w:t>
      </w:r>
      <w:hyperlink r:id="rId11">
        <w:r>
          <w:rPr>
            <w:rStyle w:val="Hyperlink"/>
          </w:rPr>
          <w:t xml:space="preserve">Parpola 2023</w:t>
        </w:r>
      </w:hyperlink>
      <w:r>
        <w:t xml:space="preserve">, p. 377. Why they were invoked for protective purposes remains somewhat unclear. At least it it known that this phenomenon itself was not limited to Campā, but also existed in Cambodia. Cf. the Khmer inscriptions</w:t>
      </w:r>
      <w:r>
        <w:t xml:space="preserve"> </w:t>
      </w:r>
      <w:hyperlink r:id="rId13">
        <w:r>
          <w:rPr>
            <w:rStyle w:val="Hyperlink"/>
          </w:rPr>
          <w:t xml:space="preserve">K. 895</w:t>
        </w:r>
      </w:hyperlink>
      <w:r>
        <w:t xml:space="preserve"> </w:t>
      </w:r>
      <w:r>
        <w:t xml:space="preserve">and</w:t>
      </w:r>
      <w:r>
        <w:t xml:space="preserve"> </w:t>
      </w:r>
      <w:hyperlink r:id="rId13">
        <w:r>
          <w:rPr>
            <w:rStyle w:val="Hyperlink"/>
          </w:rPr>
          <w:t xml:space="preserve">K. 1216</w:t>
        </w:r>
      </w:hyperlink>
      <w:r>
        <w:t xml:space="preserve">.</w:t>
      </w:r>
    </w:p>
    <w:p>
      <w:pPr>
        <w:pStyle w:val="BodyText"/>
      </w:pPr>
      <w:r>
        <w:t xml:space="preserve">The expression</w:t>
      </w:r>
      <w:r>
        <w:t xml:space="preserve"> </w:t>
      </w:r>
      <w:r>
        <w:rPr>
          <w:i/>
          <w:iCs/>
        </w:rPr>
        <w:t xml:space="preserve">aśanipātana</w:t>
      </w:r>
      <w:r>
        <w:t xml:space="preserve"> </w:t>
      </w:r>
      <w:r>
        <w:t xml:space="preserve">is one of the factors said to cause the state of mind (</w:t>
      </w:r>
      <w:r>
        <w:rPr>
          <w:i/>
          <w:iCs/>
        </w:rPr>
        <w:t xml:space="preserve">bhāva</w:t>
      </w:r>
      <w:r>
        <w:t xml:space="preserve">) called “terror” (</w:t>
      </w:r>
      <w:r>
        <w:rPr>
          <w:i/>
          <w:iCs/>
        </w:rPr>
        <w:t xml:space="preserve">trāsa</w:t>
      </w:r>
      <w:r>
        <w:t xml:space="preserve">) in</w:t>
      </w:r>
      <w:r>
        <w:t xml:space="preserve"> </w:t>
      </w:r>
      <w:r>
        <w:rPr>
          <w:i/>
          <w:iCs/>
        </w:rPr>
        <w:t xml:space="preserve">Nāṭyaśāstra</w:t>
      </w:r>
      <w:r>
        <w:t xml:space="preserve"> </w:t>
      </w:r>
      <w:r>
        <w:t xml:space="preserve">7.90:</w:t>
      </w:r>
      <w:r>
        <w:t xml:space="preserve"> </w:t>
      </w:r>
      <w:r>
        <w:rPr>
          <w:i/>
          <w:iCs/>
        </w:rPr>
        <w:t xml:space="preserve">trāso nāma — vidyud-ulkāśanipāta-nirghātāmbudhara-mahāsattva-paśu-ravādibhir vibhāvair utpadyate | tam abhinayet saṁkṣiptāṅgotkampana-vepathu-stambha-romāñca-gadgada-pralāpādibhir anubhāvaiḥ |</w:t>
      </w:r>
      <w:r>
        <w:t xml:space="preserve">.</w:t>
      </w:r>
    </w:p>
    <w:p>
      <w:pPr>
        <w:pStyle w:val="Heading1"/>
      </w:pPr>
      <w:r>
        <w:t xml:space="preserve">Bibliography</w:t>
      </w:r>
    </w:p>
    <w:p>
      <w:pPr>
        <w:pStyle w:val="FirstParagraph"/>
      </w:pPr>
      <w:r>
        <w:t xml:space="preserve">First published in Griffiths</w:t>
      </w:r>
      <w:r>
        <w:t xml:space="preserve"> </w:t>
      </w:r>
      <w:r>
        <w:rPr>
          <w:i/>
          <w:iCs/>
        </w:rPr>
        <w:t xml:space="preserve">et al.</w:t>
      </w:r>
      <w:r>
        <w:t xml:space="preserve"> </w:t>
      </w:r>
      <w:r>
        <w:t xml:space="preserve">2012 with reproduction of the EFEO estampage sheets under number n. 512. This revised digital edition by Arlo Griffiths (2025).</w:t>
      </w:r>
    </w:p>
    <w:p>
      <w:pPr>
        <w:pStyle w:val="Heading2"/>
      </w:pPr>
      <w:r>
        <w:t xml:space="preserve">Primary</w:t>
      </w:r>
    </w:p>
    <w:p>
      <w:pPr>
        <w:pStyle w:val="FirstParagraph"/>
      </w:pPr>
      <w:r>
        <w:rPr>
          <w:b/>
          <w:bCs/>
        </w:rPr>
        <w:t xml:space="preserve">[CIC]</w:t>
      </w:r>
      <w:r>
        <w:t xml:space="preserve"> </w:t>
      </w:r>
      <w:r>
        <w:t xml:space="preserve">Griffiths, Arlo, Amandine Lepoutre, William Aelred Southworth &amp; Thành Phần. 2012.</w:t>
      </w:r>
      <w:r>
        <w:t xml:space="preserve"> </w:t>
      </w:r>
      <w:r>
        <w:rPr>
          <w:i/>
          <w:iCs/>
        </w:rPr>
        <w:t xml:space="preserve">Văn khắc Chămpa tại Bảo tàng Điêu khắc Chăm - Đà Nẵng / The inscriptions of Campā at the museum of Cham sculpture in Đà Nẵng</w:t>
      </w:r>
      <w:r>
        <w:t xml:space="preserve">. Ho Chi Minh City; Hanoi: VNUHCM Publishing House and Center for Vietnamese and Southeast Asian Studies University of Social Sciences and Humanities Vietnam National University Hồ Chí Minh City; École française d’Extrême-Orient.</w:t>
      </w:r>
      <w:r>
        <w:t xml:space="preserve"> </w:t>
      </w:r>
      <w:hyperlink r:id="rId14">
        <w:r>
          <w:rPr>
            <w:rStyle w:val="Hyperlink"/>
          </w:rPr>
          <w:t xml:space="preserve">[URL]</w:t>
        </w:r>
      </w:hyperlink>
      <w:r>
        <w:t xml:space="preserve">. Pages 245–246.</w:t>
      </w:r>
    </w:p>
    <w:p>
      <w:pPr>
        <w:pStyle w:val="Heading2"/>
      </w:pPr>
      <w:r>
        <w:t xml:space="preserve">Secondary</w:t>
      </w:r>
    </w:p>
    <w:p>
      <w:pPr>
        <w:pStyle w:val="FirstParagraph"/>
      </w:pPr>
      <w:r>
        <w:t xml:space="preserve">BEFEO 1928.</w:t>
      </w:r>
      <w:r>
        <w:t xml:space="preserve"> </w:t>
      </w:r>
      <w:r>
        <w:rPr>
          <w:i/>
          <w:iCs/>
        </w:rPr>
        <w:t xml:space="preserve">Bulletin de l’École française d’Extrême-Orient, tome XXVIII N°3, 1928</w:t>
      </w:r>
      <w:r>
        <w:t xml:space="preserve">. No place, 1928.</w:t>
      </w:r>
      <w:r>
        <w:t xml:space="preserve"> </w:t>
      </w:r>
      <w:hyperlink r:id="rId15">
        <w:r>
          <w:rPr>
            <w:rStyle w:val="Hyperlink"/>
          </w:rPr>
          <w:t xml:space="preserve">[URL]</w:t>
        </w:r>
      </w:hyperlink>
      <w:r>
        <w:t xml:space="preserve">. Pages 601–603.</w:t>
      </w:r>
    </w:p>
    <w:sectPr>
      <w:footnotePr>
        <w:numFmt w:val="decimal"/>
        <w:numRestart w:val="eachSect"/>
      </w:footnotePr>
      <w:type w:val="nextPage"/>
      <w:pgSz w:h="15840" w:w="12240"/>
      <w:pgMar w:bottom="1440" w:footer="0" w:gutter="0" w:header="0" w:left="1440" w:right="1440" w:top="1440"/>
      <w:pgNumType w:fmt="decimal"/>
      <w:formProt w:val="false"/>
      <w:textDirection w:val="lrTb"/>
      <w:docGrid w:charSpace="0" w:linePitch="100" w:type="default"/>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Aptos">
    <w:charset w:val="01"/>
    <w:family w:val="auto"/>
    <w:pitch w:val="default"/>
  </w:font>
  <w:font w:name="Gentium">
    <w:charset w:val="01"/>
    <w:family w:val="auto"/>
    <w:pitch w:val="default"/>
  </w:font>
  <w:font w:name="Aptos Display">
    <w:charset w:val="01"/>
    <w:family w:val="auto"/>
    <w:pitch w:val="default"/>
  </w:font>
  <w:font w:name="Consolas">
    <w:charset w:val="01"/>
    <w:family w:val="auto"/>
    <w:pitch w:val="default"/>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 w:id="10">
    <w:p>
      <w:pPr>
        <w:pStyle w:val="FootnoteText"/>
      </w:pPr>
      <w:r>
        <w:rPr>
          <w:rStyle w:val="FootnoteReference"/>
        </w:rPr>
        <w:footnoteRef/>
      </w:r>
      <w:r>
        <w:t xml:space="preserve"> </w:t>
      </w:r>
      <w:r>
        <w:t xml:space="preserve">This spelling is not an error. See</w:t>
      </w:r>
      <w:r>
        <w:t xml:space="preserve"> </w:t>
      </w:r>
      <w:hyperlink r:id="rId11">
        <w:r>
          <w:rPr>
            <w:rStyle w:val="Hyperlink"/>
          </w:rPr>
          <w:t xml:space="preserve">Parpola 2023</w:t>
        </w:r>
      </w:hyperlink>
      <w:r>
        <w:t xml:space="preserve">, p. 378 and the Khmer inscription K. 1216.</w:t>
      </w:r>
    </w:p>
  </w:footnote>
  <w:footnote w:id="12">
    <w:p>
      <w:pPr>
        <w:pStyle w:val="FootnoteText"/>
      </w:pPr>
      <w:r>
        <w:rPr>
          <w:rStyle w:val="FootnoteReference"/>
        </w:rPr>
        <w:footnoteRef/>
      </w:r>
      <w:r>
        <w:t xml:space="preserve"> </w:t>
      </w:r>
      <w:r>
        <w:t xml:space="preserve">This reading is indeed found in the verses cited by Baladeva Vidyābhūṣaṇa (18th century) in his commentary to a song by Rūpa Gosvāmin:</w:t>
      </w:r>
      <w:r>
        <w:t xml:space="preserve"> </w:t>
      </w:r>
      <w:r>
        <w:rPr>
          <w:i/>
          <w:iCs/>
        </w:rPr>
        <w:t xml:space="preserve">muneḥ kalyāṇamitrasya jaimineś cāpi kīrtanāt | vidyud-agni-bhayaṁ nāsti likhite ca gr̥hodare || jaiminiś ca sumantuś ca vaiśampāyana eva ca | pulastyaḥ pulahaś caiva pañcaite vajra-vāraṇāḥ ||</w:t>
      </w:r>
      <w:r>
        <w:t xml:space="preserve">. Personal communication from David Buchta.</w:t>
      </w:r>
    </w:p>
  </w:footnote>
</w:footnotes>
</file>

<file path=word/numbering.xml><?xml version="1.0" encoding="utf-8"?>
<w:numbering xmlns:mc="http://schemas.openxmlformats.org/markup-compatibility/2006" xmlns:o="urn:schemas-microsoft-com:office:office" xmlns:r="http://schemas.openxmlformats.org/officeDocument/2006/relationships" xmlns:v="urn:schemas-microsoft-com:vml" xmlns:w="http://schemas.openxmlformats.org/wordprocessingml/2006/main" xmlns:w14="http://schemas.microsoft.com/office/word/2010/wordml" mc:Ignorable="w14">
  <w:abstractNum w:abstractNumId="1">
    <w:lvl w:ilvl="0">
      <w:start w:val="1"/>
      <w:numFmt w:val="none"/>
      <w:suff w:val="nothing"/>
      <w:lvlText w:val=""/>
      <w:lvlJc w:val="left"/>
      <w:pPr>
        <w:tabs>
          <w:tab w:pos="0" w:val="num"/>
        </w:tabs>
        <w:ind w:hanging="0" w:left="0"/>
      </w:pPr>
      <w:rPr/>
    </w:lvl>
    <w:lvl w:ilvl="1">
      <w:start w:val="1"/>
      <w:numFmt w:val="none"/>
      <w:suff w:val="nothing"/>
      <w:lvlText w:val=""/>
      <w:lvlJc w:val="left"/>
      <w:pPr>
        <w:tabs>
          <w:tab w:pos="0" w:val="num"/>
        </w:tabs>
        <w:ind w:hanging="0" w:left="0"/>
      </w:pPr>
      <w:rPr/>
    </w:lvl>
    <w:lvl w:ilvl="2">
      <w:start w:val="1"/>
      <w:numFmt w:val="none"/>
      <w:suff w:val="nothing"/>
      <w:lvlText w:val=""/>
      <w:lvlJc w:val="left"/>
      <w:pPr>
        <w:tabs>
          <w:tab w:pos="0" w:val="num"/>
        </w:tabs>
        <w:ind w:hanging="0" w:left="0"/>
      </w:pPr>
      <w:rPr/>
    </w:lvl>
    <w:lvl w:ilvl="3">
      <w:start w:val="1"/>
      <w:numFmt w:val="none"/>
      <w:suff w:val="nothing"/>
      <w:lvlText w:val=""/>
      <w:lvlJc w:val="left"/>
      <w:pPr>
        <w:tabs>
          <w:tab w:pos="0" w:val="num"/>
        </w:tabs>
        <w:ind w:hanging="0" w:left="0"/>
      </w:pPr>
      <w:rPr/>
    </w:lvl>
    <w:lvl w:ilvl="4">
      <w:start w:val="1"/>
      <w:numFmt w:val="none"/>
      <w:suff w:val="nothing"/>
      <w:lvlText w:val=""/>
      <w:lvlJc w:val="left"/>
      <w:pPr>
        <w:tabs>
          <w:tab w:pos="0" w:val="num"/>
        </w:tabs>
        <w:ind w:hanging="0" w:left="0"/>
      </w:pPr>
      <w:rPr/>
    </w:lvl>
    <w:lvl w:ilvl="5">
      <w:start w:val="1"/>
      <w:numFmt w:val="none"/>
      <w:suff w:val="nothing"/>
      <w:lvlText w:val=""/>
      <w:lvlJc w:val="left"/>
      <w:pPr>
        <w:tabs>
          <w:tab w:pos="0" w:val="num"/>
        </w:tabs>
        <w:ind w:hanging="0" w:left="0"/>
      </w:pPr>
      <w:rPr/>
    </w:lvl>
    <w:lvl w:ilvl="6">
      <w:start w:val="1"/>
      <w:numFmt w:val="none"/>
      <w:suff w:val="nothing"/>
      <w:lvlText w:val=""/>
      <w:lvlJc w:val="left"/>
      <w:pPr>
        <w:tabs>
          <w:tab w:pos="0" w:val="num"/>
        </w:tabs>
        <w:ind w:hanging="0" w:left="0"/>
      </w:pPr>
      <w:rPr/>
    </w:lvl>
    <w:lvl w:ilvl="7">
      <w:start w:val="1"/>
      <w:numFmt w:val="none"/>
      <w:suff w:val="nothing"/>
      <w:lvlText w:val=""/>
      <w:lvlJc w:val="left"/>
      <w:pPr>
        <w:tabs>
          <w:tab w:pos="0" w:val="num"/>
        </w:tabs>
        <w:ind w:hanging="0" w:left="0"/>
      </w:pPr>
      <w:rPr/>
    </w:lvl>
    <w:lvl w:ilvl="8">
      <w:start w:val="1"/>
      <w:numFmt w:val="none"/>
      <w:suff w:val="nothing"/>
      <w:lvlText w:val=""/>
      <w:lvlJc w:val="left"/>
      <w:pPr>
        <w:tabs>
          <w:tab w:pos="0" w:val="num"/>
        </w:tabs>
        <w:ind w:hanging="0" w:left="0"/>
      </w:pPr>
      <w:rPr/>
    </w:lvl>
  </w:abstractNum>
  <w:abstractNum w:abstractNumId="2">
    <w:lvl w:ilvl="0">
      <w:start w:val="1"/>
      <w:numFmt w:val="none"/>
      <w:suff w:val="nothing"/>
      <w:lvlText w:val=""/>
      <w:lvlJc w:val="left"/>
      <w:pPr>
        <w:tabs>
          <w:tab w:pos="0" w:val="num"/>
        </w:tabs>
        <w:ind w:hanging="0" w:left="0"/>
      </w:pPr>
    </w:lvl>
    <w:lvl w:ilvl="1">
      <w:start w:val="1"/>
      <w:numFmt w:val="none"/>
      <w:suff w:val="nothing"/>
      <w:lvlText w:val=""/>
      <w:lvlJc w:val="left"/>
      <w:pPr>
        <w:tabs>
          <w:tab w:pos="0" w:val="num"/>
        </w:tabs>
        <w:ind w:hanging="0" w:left="0"/>
      </w:pPr>
    </w:lvl>
    <w:lvl w:ilvl="2">
      <w:start w:val="1"/>
      <w:numFmt w:val="none"/>
      <w:suff w:val="nothing"/>
      <w:lvlText w:val=""/>
      <w:lvlJc w:val="left"/>
      <w:pPr>
        <w:tabs>
          <w:tab w:pos="0" w:val="num"/>
        </w:tabs>
        <w:ind w:hanging="0" w:left="0"/>
      </w:pPr>
    </w:lvl>
    <w:lvl w:ilvl="3">
      <w:start w:val="1"/>
      <w:numFmt w:val="none"/>
      <w:suff w:val="nothing"/>
      <w:lvlText w:val=""/>
      <w:lvlJc w:val="left"/>
      <w:pPr>
        <w:tabs>
          <w:tab w:pos="0" w:val="num"/>
        </w:tabs>
        <w:ind w:hanging="0" w:left="0"/>
      </w:pPr>
    </w:lvl>
    <w:lvl w:ilvl="4">
      <w:start w:val="1"/>
      <w:numFmt w:val="none"/>
      <w:suff w:val="nothing"/>
      <w:lvlText w:val=""/>
      <w:lvlJc w:val="left"/>
      <w:pPr>
        <w:tabs>
          <w:tab w:pos="0" w:val="num"/>
        </w:tabs>
        <w:ind w:hanging="0" w:left="0"/>
      </w:pPr>
    </w:lvl>
    <w:lvl w:ilvl="5">
      <w:start w:val="1"/>
      <w:numFmt w:val="none"/>
      <w:suff w:val="nothing"/>
      <w:lvlText w:val=""/>
      <w:lvlJc w:val="left"/>
      <w:pPr>
        <w:tabs>
          <w:tab w:pos="0" w:val="num"/>
        </w:tabs>
        <w:ind w:hanging="0" w:left="0"/>
      </w:pPr>
    </w:lvl>
    <w:lvl w:ilvl="6">
      <w:start w:val="1"/>
      <w:numFmt w:val="none"/>
      <w:suff w:val="nothing"/>
      <w:lvlText w:val=""/>
      <w:lvlJc w:val="left"/>
      <w:pPr>
        <w:tabs>
          <w:tab w:pos="0" w:val="num"/>
        </w:tabs>
        <w:ind w:hanging="0" w:left="0"/>
      </w:pPr>
    </w:lvl>
    <w:lvl w:ilvl="7">
      <w:start w:val="1"/>
      <w:numFmt w:val="none"/>
      <w:suff w:val="nothing"/>
      <w:lvlText w:val=""/>
      <w:lvlJc w:val="left"/>
      <w:pPr>
        <w:tabs>
          <w:tab w:pos="0" w:val="num"/>
        </w:tabs>
        <w:ind w:hanging="0" w:left="0"/>
      </w:pPr>
    </w:lvl>
    <w:lvl w:ilvl="8">
      <w:start w:val="1"/>
      <w:numFmt w:val="none"/>
      <w:suff w:val="nothing"/>
      <w:lvlText w:val=""/>
      <w:lvlJc w:val="left"/>
      <w:pPr>
        <w:tabs>
          <w:tab w:pos="0" w:val="num"/>
        </w:tabs>
        <w:ind w:hanging="0" w:left="0"/>
      </w:pPr>
    </w:lvl>
  </w:abstractNum>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
    <w:abstractNumId w:val="1"/>
  </w:num>
  <w:num w:numId="2">
    <w:abstractNumId w:val="2"/>
  </w: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600"/>
  <w:embedSystemFonts/>
  <w:proofState w:grammar="clean" w:spelling="clean"/>
  <w:stylePaneFormatFilter w:val="0004"/>
  <w:doNotTrackMoves/>
  <w:defaultTabStop w:val="720"/>
  <w:autoHyphenation w:val="true"/>
  <w:hyphenationZone w:val="0"/>
  <w:drawingGridHorizontalSpacing w:val="360"/>
  <w:drawingGridVerticalSpacing w:val="360"/>
  <w:displayHorizontalDrawingGridEvery w:val="0"/>
  <w:displayVerticalDrawingGridEvery w:val="0"/>
  <w:characterSpacingControl w:val="doNotCompress"/>
  <w:savePreviewPicture/>
  <w:compat>
    <w:compatSetting w:name="compatibilityMode" w:uri="http://schemas.microsoft.com/office/word" w:val="12"/>
  </w:compat>
  <w:rsids>
  </w:rsids>
  <w:themeFontLang w:bidi="" w:eastAsia=""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Aptos" w:asciiTheme="minorHAnsi" w:cs="" w:cstheme="minorBidi" w:eastAsia="Aptos" w:eastAsiaTheme="minorHAnsi" w:hAnsi="Aptos" w:hAnsiTheme="minorHAnsi"/>
        <w:sz w:val="24"/>
        <w:szCs w:val="24"/>
        <w:lang w:bidi="ar-SA" w:eastAsia="en-US" w:val="en-US"/>
      </w:rPr>
    </w:rPrDefault>
    <w:pPrDefault>
      <w:pPr>
        <w:suppressAutoHyphens w:val="true"/>
      </w:pPr>
    </w:pPrDefault>
  </w:docDefaults>
  <w:latentStyles w:count="276" w:defLockedState="0" w:defQFormat="0" w:defSemiHidden="0" w:defUIPriority="0" w:defUnhideWhenUsed="0"/>
  <w:style w:default="1" w:styleId="Normal" w:type="paragraph">
    <w:name w:val="Normal"/>
    <w:qFormat/>
    <w:pPr>
      <w:widowControl/>
      <w:suppressAutoHyphens w:val="true"/>
      <w:bidi w:val="0"/>
      <w:spacing w:after="200" w:before="0"/>
      <w:jc w:val="left"/>
    </w:pPr>
    <w:rPr>
      <w:rFonts w:ascii="Gentium" w:cs="" w:cstheme="minorBidi" w:eastAsia="Aptos" w:eastAsiaTheme="minorHAnsi" w:hAnsi="Gentium"/>
      <w:color w:val="auto"/>
      <w:kern w:val="0"/>
      <w:sz w:val="24"/>
      <w:szCs w:val="24"/>
      <w:lang w:bidi="ar-SA" w:eastAsia="en-US" w:val="en-US"/>
    </w:rPr>
  </w:style>
  <w:style w:styleId="Heading1" w:type="paragraph">
    <w:name w:val="heading 1"/>
    <w:basedOn w:val="Normal"/>
    <w:next w:val="BodyText"/>
    <w:link w:val="Heading1Char"/>
    <w:uiPriority w:val="9"/>
    <w:qFormat/>
    <w:rsid w:val="00a10fd9"/>
    <w:pPr>
      <w:keepNext w:val="true"/>
      <w:keepLines/>
      <w:spacing w:after="80" w:before="360"/>
      <w:outlineLvl w:val="0"/>
    </w:pPr>
    <w:rPr>
      <w:rFonts w:ascii="Gentium" w:cs="" w:cstheme="majorBidi" w:eastAsia="" w:eastAsiaTheme="majorEastAsia" w:hAnsi="Gentium"/>
      <w:color w:val="auto"/>
      <w:sz w:val="40"/>
      <w:szCs w:val="40"/>
    </w:rPr>
  </w:style>
  <w:style w:styleId="Heading2" w:type="paragraph">
    <w:name w:val="heading 2"/>
    <w:basedOn w:val="Normal"/>
    <w:next w:val="BodyText"/>
    <w:link w:val="Heading2Char"/>
    <w:uiPriority w:val="9"/>
    <w:semiHidden/>
    <w:unhideWhenUsed/>
    <w:qFormat/>
    <w:rsid w:val="00a10fd9"/>
    <w:pPr>
      <w:keepNext w:val="true"/>
      <w:keepLines/>
      <w:spacing w:after="80" w:before="160"/>
      <w:outlineLvl w:val="1"/>
    </w:pPr>
    <w:rPr>
      <w:rFonts w:ascii="Gentium" w:cs="" w:cstheme="majorBidi" w:eastAsia="" w:eastAsiaTheme="majorEastAsia" w:hAnsi="Gentium"/>
      <w:color w:val="000000"/>
      <w:sz w:val="32"/>
      <w:szCs w:val="32"/>
    </w:rPr>
  </w:style>
  <w:style w:styleId="Heading3" w:type="paragraph">
    <w:name w:val="heading 3"/>
    <w:basedOn w:val="Normal"/>
    <w:next w:val="BodyText"/>
    <w:link w:val="Heading3Char"/>
    <w:uiPriority w:val="9"/>
    <w:semiHidden/>
    <w:unhideWhenUsed/>
    <w:qFormat/>
    <w:rsid w:val="00a10fd9"/>
    <w:pPr>
      <w:keepNext w:val="true"/>
      <w:keepLines/>
      <w:spacing w:after="80" w:before="160"/>
      <w:outlineLvl w:val="2"/>
    </w:pPr>
    <w:rPr>
      <w:rFonts w:ascii="Gentium" w:cs="" w:cstheme="majorBidi" w:eastAsia="" w:eastAsiaTheme="majorEastAsia" w:hAnsi="Gentium"/>
      <w:color w:val="000000"/>
      <w:sz w:val="28"/>
      <w:szCs w:val="28"/>
    </w:rPr>
  </w:style>
  <w:style w:styleId="Heading4" w:type="paragraph">
    <w:name w:val="heading 4"/>
    <w:basedOn w:val="Normal"/>
    <w:next w:val="BodyText"/>
    <w:link w:val="Heading4Char"/>
    <w:uiPriority w:val="9"/>
    <w:semiHidden/>
    <w:unhideWhenUsed/>
    <w:qFormat/>
    <w:rsid w:val="00a10fd9"/>
    <w:pPr>
      <w:keepNext w:val="true"/>
      <w:keepLines/>
      <w:spacing w:after="40" w:before="80"/>
      <w:outlineLvl w:val="3"/>
    </w:pPr>
    <w:rPr>
      <w:rFonts w:ascii="Gentium" w:cs="" w:cstheme="majorBidi" w:eastAsia="" w:eastAsiaTheme="majorEastAsia" w:hAnsi="Gentium"/>
      <w:i/>
      <w:iCs/>
      <w:color w:val="000000"/>
    </w:rPr>
  </w:style>
  <w:style w:styleId="Heading5" w:type="paragraph">
    <w:name w:val="heading 5"/>
    <w:basedOn w:val="Normal"/>
    <w:next w:val="BodyText"/>
    <w:link w:val="Heading5Char"/>
    <w:uiPriority w:val="9"/>
    <w:semiHidden/>
    <w:unhideWhenUsed/>
    <w:qFormat/>
    <w:rsid w:val="00a10fd9"/>
    <w:pPr>
      <w:keepNext w:val="true"/>
      <w:keepLines/>
      <w:spacing w:after="40" w:before="80"/>
      <w:outlineLvl w:val="4"/>
    </w:pPr>
    <w:rPr>
      <w:rFonts w:ascii="Gentium" w:cs="" w:cstheme="majorBidi" w:eastAsia="" w:eastAsiaTheme="majorEastAsia" w:hAnsi="Gentium"/>
      <w:color w:val="000000"/>
    </w:rPr>
  </w:style>
  <w:style w:styleId="Heading6" w:type="paragraph">
    <w:name w:val="heading 6"/>
    <w:basedOn w:val="Normal"/>
    <w:next w:val="BodyText"/>
    <w:link w:val="Heading6Char"/>
    <w:uiPriority w:val="9"/>
    <w:semiHidden/>
    <w:unhideWhenUsed/>
    <w:qFormat/>
    <w:rsid w:val="00a10fd9"/>
    <w:pPr>
      <w:keepNext w:val="true"/>
      <w:keepLines/>
      <w:spacing w:after="0" w:before="40"/>
      <w:outlineLvl w:val="5"/>
    </w:pPr>
    <w:rPr>
      <w:rFonts w:ascii="Gentium" w:cs="" w:cstheme="majorBidi" w:eastAsia="" w:eastAsiaTheme="majorEastAsia" w:hAnsi="Gentium"/>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val="true"/>
      <w:keepLines/>
      <w:spacing w:after="0" w:before="40"/>
      <w:outlineLvl w:val="6"/>
    </w:pPr>
    <w:rPr>
      <w:rFonts w:ascii="Gentium" w:cs="" w:cstheme="majorBidi" w:eastAsia="" w:eastAsiaTheme="majorEastAsia" w:hAnsi="Gentium"/>
      <w:color w:themeColor="text1" w:themeTint="a6" w:val="595959"/>
    </w:rPr>
  </w:style>
  <w:style w:styleId="Heading8" w:type="paragraph">
    <w:name w:val="heading 8"/>
    <w:basedOn w:val="Normal"/>
    <w:next w:val="BodyText"/>
    <w:link w:val="Heading8Char"/>
    <w:uiPriority w:val="9"/>
    <w:semiHidden/>
    <w:unhideWhenUsed/>
    <w:qFormat/>
    <w:rsid w:val="00a10fd9"/>
    <w:pPr>
      <w:keepNext w:val="true"/>
      <w:keepLines/>
      <w:spacing w:after="0" w:before="0"/>
      <w:outlineLvl w:val="7"/>
    </w:pPr>
    <w:rPr>
      <w:rFonts w:ascii="Gentium" w:cs="" w:cstheme="majorBidi" w:eastAsia="" w:eastAsiaTheme="majorEastAsia" w:hAnsi="Gentium"/>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val="true"/>
      <w:keepLines/>
      <w:spacing w:after="0" w:before="0"/>
      <w:outlineLvl w:val="8"/>
    </w:pPr>
    <w:rPr>
      <w:rFonts w:ascii="Gentium" w:cs="" w:cstheme="majorBidi" w:eastAsia="" w:eastAsiaTheme="majorEastAsia" w:hAnsi="Gentium"/>
      <w:color w:themeColor="text1" w:themeTint="d8" w:val="272727"/>
    </w:rPr>
  </w:style>
  <w:style w:customStyle="1" w:styleId="TitleChar" w:type="character">
    <w:name w:val="Title Char"/>
    <w:basedOn w:val="DefaultParagraphFont"/>
    <w:link w:val="Title"/>
    <w:uiPriority w:val="10"/>
    <w:qFormat/>
    <w:rsid w:val="00a10fd9"/>
    <w:rPr>
      <w:rFonts w:ascii="Aptos Display" w:asciiTheme="majorHAnsi" w:cs="" w:cstheme="majorBidi" w:eastAsia="" w:eastAsiaTheme="majorEastAsia" w:hAnsi="Aptos Display" w:hAnsiTheme="majorHAnsi"/>
      <w:sz w:val="56"/>
      <w:szCs w:val="56"/>
    </w:rPr>
  </w:style>
  <w:style w:customStyle="1" w:styleId="SubtitleChar" w:type="character">
    <w:name w:val="Subtitle Char"/>
    <w:basedOn w:val="DefaultParagraphFont"/>
    <w:link w:val="Subtitle"/>
    <w:uiPriority w:val="11"/>
    <w:qFormat/>
    <w:rsid w:val="00a10fd9"/>
    <w:rPr>
      <w:rFonts w:cs="" w:cstheme="majorBidi" w:eastAsia="" w:eastAsiaTheme="majorEastAsia"/>
      <w:color w:themeColor="text1" w:themeTint="a6" w:val="595959"/>
      <w:spacing w:val="15"/>
      <w:sz w:val="28"/>
      <w:szCs w:val="28"/>
    </w:rPr>
  </w:style>
  <w:style w:customStyle="1" w:styleId="Heading1Char" w:type="character">
    <w:name w:val="Heading 1 Char"/>
    <w:basedOn w:val="DefaultParagraphFont"/>
    <w:link w:val="Heading1"/>
    <w:uiPriority w:val="9"/>
    <w:qFormat/>
    <w:rsid w:val="00a10fd9"/>
    <w:rPr>
      <w:rFonts w:ascii="Aptos Display" w:asciiTheme="majorHAnsi" w:cs="" w:cstheme="majorBidi" w:eastAsia="" w:eastAsiaTheme="majorEastAsia" w:hAnsi="Aptos Display" w:hAnsiTheme="majorHAnsi"/>
      <w:color w:themeColor="accent1" w:themeShade="bf" w:val="0F4761"/>
      <w:sz w:val="40"/>
      <w:szCs w:val="40"/>
    </w:rPr>
  </w:style>
  <w:style w:customStyle="1" w:styleId="Heading2Char" w:type="character">
    <w:name w:val="Heading 2 Char"/>
    <w:basedOn w:val="DefaultParagraphFont"/>
    <w:link w:val="Heading2"/>
    <w:uiPriority w:val="9"/>
    <w:semiHidden/>
    <w:qFormat/>
    <w:rsid w:val="00a10fd9"/>
    <w:rPr>
      <w:rFonts w:ascii="Aptos Display" w:asciiTheme="majorHAnsi" w:cs="" w:cstheme="majorBidi" w:eastAsia="" w:eastAsiaTheme="majorEastAsia" w:hAnsi="Aptos Display" w:hAnsiTheme="majorHAnsi"/>
      <w:color w:themeColor="accent1" w:themeShade="bf" w:val="0F4761"/>
      <w:sz w:val="32"/>
      <w:szCs w:val="32"/>
    </w:rPr>
  </w:style>
  <w:style w:customStyle="1" w:styleId="Heading3Char" w:type="character">
    <w:name w:val="Heading 3 Char"/>
    <w:basedOn w:val="DefaultParagraphFont"/>
    <w:link w:val="Heading3"/>
    <w:uiPriority w:val="9"/>
    <w:semiHidden/>
    <w:qFormat/>
    <w:rsid w:val="00a10fd9"/>
    <w:rPr>
      <w:rFonts w:cs="" w:cstheme="majorBidi" w:eastAsia=""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qFormat/>
    <w:rsid w:val="00a10fd9"/>
    <w:rPr>
      <w:rFonts w:cs="" w:cstheme="majorBidi" w:eastAsia="" w:eastAsiaTheme="majorEastAsia"/>
      <w:i/>
      <w:iCs/>
      <w:color w:themeColor="accent1" w:themeShade="bf" w:val="0F4761"/>
    </w:rPr>
  </w:style>
  <w:style w:customStyle="1" w:styleId="Heading5Char" w:type="character">
    <w:name w:val="Heading 5 Char"/>
    <w:basedOn w:val="DefaultParagraphFont"/>
    <w:link w:val="Heading5"/>
    <w:uiPriority w:val="9"/>
    <w:semiHidden/>
    <w:qFormat/>
    <w:rsid w:val="00a10fd9"/>
    <w:rPr>
      <w:rFonts w:cs="" w:cstheme="majorBidi" w:eastAsia="" w:eastAsiaTheme="majorEastAsia"/>
      <w:color w:themeColor="accent1" w:themeShade="bf" w:val="0F4761"/>
    </w:rPr>
  </w:style>
  <w:style w:customStyle="1" w:styleId="Heading6Char" w:type="character">
    <w:name w:val="Heading 6 Char"/>
    <w:basedOn w:val="DefaultParagraphFont"/>
    <w:link w:val="Heading6"/>
    <w:uiPriority w:val="9"/>
    <w:semiHidden/>
    <w:qFormat/>
    <w:rsid w:val="00a10fd9"/>
    <w:rPr>
      <w:rFonts w:cs="" w:cstheme="majorBidi" w:eastAsia="" w:eastAsiaTheme="majorEastAsia"/>
      <w:i/>
      <w:iCs/>
      <w:color w:themeColor="text1" w:themeTint="a6" w:val="595959"/>
    </w:rPr>
  </w:style>
  <w:style w:customStyle="1" w:styleId="Heading7Char" w:type="character">
    <w:name w:val="Heading 7 Char"/>
    <w:basedOn w:val="DefaultParagraphFont"/>
    <w:link w:val="Heading7"/>
    <w:uiPriority w:val="9"/>
    <w:semiHidden/>
    <w:qFormat/>
    <w:rsid w:val="00a10fd9"/>
    <w:rPr>
      <w:rFonts w:cs="" w:cstheme="majorBidi" w:eastAsia="" w:eastAsiaTheme="majorEastAsia"/>
      <w:color w:themeColor="text1" w:themeTint="a6" w:val="595959"/>
    </w:rPr>
  </w:style>
  <w:style w:customStyle="1" w:styleId="Heading8Char" w:type="character">
    <w:name w:val="Heading 8 Char"/>
    <w:basedOn w:val="DefaultParagraphFont"/>
    <w:link w:val="Heading8"/>
    <w:uiPriority w:val="9"/>
    <w:semiHidden/>
    <w:qFormat/>
    <w:rsid w:val="00a10fd9"/>
    <w:rPr>
      <w:rFonts w:cs="" w:cstheme="majorBidi" w:eastAsia="" w:eastAsiaTheme="majorEastAsia"/>
      <w:i/>
      <w:iCs/>
      <w:color w:themeColor="text1" w:themeTint="d8" w:val="272727"/>
    </w:rPr>
  </w:style>
  <w:style w:customStyle="1" w:styleId="Heading9Char" w:type="character">
    <w:name w:val="Heading 9 Char"/>
    <w:basedOn w:val="DefaultParagraphFont"/>
    <w:link w:val="Heading9"/>
    <w:uiPriority w:val="9"/>
    <w:semiHidden/>
    <w:qFormat/>
    <w:rsid w:val="00a10fd9"/>
    <w:rPr>
      <w:rFonts w:cs="" w:cstheme="majorBidi" w:eastAsia="" w:eastAsiaTheme="majorEastAsia"/>
      <w:color w:themeColor="text1" w:themeTint="d8" w:val="272727"/>
    </w:rPr>
  </w:style>
  <w:style w:default="1" w:styleId="DefaultParagraphFont" w:type="character">
    <w:name w:val="Default Paragraph Font"/>
    <w:semiHidden/>
    <w:unhideWhenUsed/>
    <w:qFormat/>
    <w:rPr/>
  </w:style>
  <w:style w:customStyle="1" w:styleId="BodyTextChar" w:type="character">
    <w:name w:val="Body Text Char"/>
    <w:basedOn w:val="DefaultParagraphFont"/>
    <w:qFormat/>
    <w:rPr/>
  </w:style>
  <w:style w:customStyle="1" w:styleId="VerbatimChar" w:type="character">
    <w:name w:val="Verbatim Char"/>
    <w:basedOn w:val="BodyTextChar"/>
    <w:qFormat/>
    <w:rPr>
      <w:rFonts w:ascii="Consolas" w:hAnsi="Consolas"/>
      <w:sz w:val="22"/>
    </w:rPr>
  </w:style>
  <w:style w:customStyle="1" w:styleId="SectionNumber" w:type="character">
    <w:name w:val="Section Number"/>
    <w:basedOn w:val="BodyTextChar"/>
    <w:qFormat/>
    <w:rPr/>
  </w:style>
  <w:style w:styleId="FootnoteCharacters" w:type="character">
    <w:name w:val="Footnote Characters"/>
    <w:qFormat/>
    <w:rPr>
      <w:vertAlign w:val="superscript"/>
    </w:rPr>
  </w:style>
  <w:style w:styleId="FootnoteCharactersuser" w:type="character">
    <w:name w:val="Footnote Characters (user)"/>
    <w:qFormat/>
    <w:rPr>
      <w:vertAlign w:val="superscript"/>
    </w:rPr>
  </w:style>
  <w:style w:styleId="FootnoteReference" w:type="character">
    <w:name w:val="footnote reference"/>
    <w:rPr>
      <w:vertAlign w:val="superscript"/>
    </w:rPr>
  </w:style>
  <w:style w:styleId="Hyperlink" w:type="character">
    <w:name w:val="Hyperlink"/>
    <w:basedOn w:val="BodyTextChar"/>
    <w:rPr>
      <w:color w:themeColor="accent1" w:val="4F81BD"/>
    </w:rPr>
  </w:style>
  <w:style w:styleId="ColorGray" w:type="character">
    <w:name w:val="ColorGray"/>
    <w:basedOn w:val="BodyTextChar"/>
    <w:qFormat/>
    <w:rPr>
      <w:color w:val="666666"/>
    </w:rPr>
  </w:style>
  <w:style w:styleId="ColorGreen" w:type="character">
    <w:name w:val="ColorGreen"/>
    <w:basedOn w:val="DefaultParagraphFont"/>
    <w:qFormat/>
    <w:rPr>
      <w:color w:val="069A2E"/>
    </w:rPr>
  </w:style>
  <w:style w:styleId="ColorBrown" w:type="character">
    <w:name w:val="ColorBrown"/>
    <w:basedOn w:val="ColorGreen"/>
    <w:qFormat/>
    <w:rPr>
      <w:color w:val="784B04"/>
    </w:rPr>
  </w:style>
  <w:style w:styleId="CaptionCharacters" w:type="character">
    <w:name w:val="Caption Characters"/>
    <w:qFormat/>
    <w:rPr/>
  </w:style>
  <w:style w:styleId="ColorRed" w:type="character">
    <w:name w:val="ColorRed"/>
    <w:basedOn w:val="CaptionCharacters"/>
    <w:qFormat/>
    <w:rPr>
      <w:color w:val="C9211E"/>
    </w:rPr>
  </w:style>
  <w:style w:styleId="ColorMagenta" w:type="character">
    <w:name w:val="ColorMagenta"/>
    <w:basedOn w:val="ColorBrown"/>
    <w:qFormat/>
    <w:rPr>
      <w:color w:val="A7074B"/>
    </w:rPr>
  </w:style>
  <w:style w:styleId="ColorBlue" w:type="character">
    <w:name w:val="ColorBlue"/>
    <w:basedOn w:val="ColorGray"/>
    <w:qFormat/>
    <w:rPr>
      <w:color w:val="355269"/>
    </w:rPr>
  </w:style>
  <w:style w:styleId="ColorBlack" w:type="character">
    <w:name w:val="ColorBlack"/>
    <w:basedOn w:val="ColorBlue"/>
    <w:qFormat/>
    <w:rPr>
      <w:color w:val="000000"/>
    </w:rPr>
  </w:style>
  <w:style w:styleId="EndnoteCharactersuser" w:type="character">
    <w:name w:val="Endnote Characters (user)"/>
    <w:qFormat/>
    <w:rPr>
      <w:vertAlign w:val="superscript"/>
    </w:rPr>
  </w:style>
  <w:style w:styleId="EndnoteCharacters" w:type="character">
    <w:name w:val="Endnote Characters"/>
    <w:qFormat/>
    <w:rPr>
      <w:vertAlign w:val="superscript"/>
    </w:rPr>
  </w:style>
  <w:style w:styleId="EndnoteReference" w:type="character">
    <w:name w:val="endnote reference"/>
    <w:rPr>
      <w:vertAlign w:val="superscript"/>
    </w:rPr>
  </w:style>
  <w:style w:styleId="Heading" w:type="paragraph">
    <w:name w:val="Heading"/>
    <w:basedOn w:val="Normal"/>
    <w:next w:val="BodyText"/>
    <w:qFormat/>
    <w:pPr>
      <w:keepNext w:val="true"/>
      <w:spacing w:after="120" w:before="240"/>
    </w:pPr>
    <w:rPr>
      <w:rFonts w:ascii="Gentium" w:cs="Noto Sans Devanagari" w:eastAsia="Noto Sans CJK SC" w:hAnsi="Gentium"/>
      <w:sz w:val="28"/>
      <w:szCs w:val="28"/>
    </w:rPr>
  </w:style>
  <w:style w:styleId="BodyText" w:type="paragraph">
    <w:name w:val="Body Text"/>
    <w:basedOn w:val="Normal"/>
    <w:link w:val="BodyTextChar"/>
    <w:qFormat/>
    <w:pPr>
      <w:spacing w:after="180" w:before="180"/>
    </w:pPr>
    <w:rPr>
      <w:rFonts w:ascii="Gentium" w:hAnsi="Gentium"/>
    </w:rPr>
  </w:style>
  <w:style w:styleId="List" w:type="paragraph">
    <w:name w:val="List"/>
    <w:basedOn w:val="BodyText"/>
    <w:pPr/>
    <w:rPr>
      <w:rFonts w:ascii="Gentium" w:cs="Noto Sans Devanagari" w:hAnsi="Gentium"/>
    </w:rPr>
  </w:style>
  <w:style w:styleId="Caption" w:type="paragraph">
    <w:name w:val="caption"/>
    <w:basedOn w:val="Normal"/>
    <w:link w:val="BodyTextChar"/>
    <w:qFormat/>
    <w:pPr>
      <w:spacing w:after="120" w:before="0"/>
    </w:pPr>
    <w:rPr>
      <w:rFonts w:ascii="Gentium" w:hAnsi="Gentium"/>
      <w:i/>
    </w:rPr>
  </w:style>
  <w:style w:styleId="Index" w:type="paragraph">
    <w:name w:val="Index"/>
    <w:basedOn w:val="Normal"/>
    <w:qFormat/>
    <w:pPr>
      <w:suppressLineNumbers/>
    </w:pPr>
    <w:rPr>
      <w:rFonts w:ascii="Gentium" w:cs="Noto Sans Devanagari" w:hAnsi="Gentium"/>
    </w:rPr>
  </w:style>
  <w:style w:customStyle="1" w:styleId="FirstParagraph" w:type="paragraph">
    <w:name w:val="First Paragraph"/>
    <w:basedOn w:val="BodyText"/>
    <w:next w:val="BodyText"/>
    <w:qFormat/>
    <w:pPr/>
    <w:rPr>
      <w:rFonts w:ascii="Gentium" w:hAnsi="Gentium"/>
    </w:rPr>
  </w:style>
  <w:style w:customStyle="1" w:styleId="Compact" w:type="paragraph">
    <w:name w:val="Compact"/>
    <w:basedOn w:val="BodyText"/>
    <w:qFormat/>
    <w:pPr>
      <w:spacing w:after="36" w:before="36"/>
    </w:pPr>
    <w:rPr/>
  </w:style>
  <w:style w:styleId="Title" w:type="paragraph">
    <w:name w:val="Title"/>
    <w:basedOn w:val="Normal"/>
    <w:next w:val="BodyText"/>
    <w:link w:val="TitleChar"/>
    <w:uiPriority w:val="10"/>
    <w:qFormat/>
    <w:rsid w:val="00a10fd9"/>
    <w:pPr>
      <w:spacing w:after="80" w:before="0" w:line="240" w:lineRule="auto"/>
      <w:contextualSpacing/>
      <w:jc w:val="center"/>
    </w:pPr>
    <w:rPr>
      <w:rFonts w:ascii="Gentium" w:cs="" w:cstheme="majorBidi" w:eastAsia="" w:eastAsiaTheme="majorEastAsia" w:hAnsi="Gentium"/>
      <w:sz w:val="56"/>
      <w:szCs w:val="56"/>
    </w:rPr>
  </w:style>
  <w:style w:styleId="Subtitle" w:type="paragraph">
    <w:name w:val="Subtitle"/>
    <w:basedOn w:val="Title"/>
    <w:next w:val="BodyText"/>
    <w:link w:val="SubtitleChar"/>
    <w:uiPriority w:val="11"/>
    <w:qFormat/>
    <w:rsid w:val="00a10fd9"/>
    <w:pPr/>
    <w:rPr>
      <w:rFonts w:cs="" w:cstheme="majorBidi" w:eastAsia="" w:eastAsiaTheme="majorEastAsia"/>
      <w:spacing w:val="15"/>
      <w:sz w:val="28"/>
      <w:szCs w:val="28"/>
    </w:rPr>
  </w:style>
  <w:style w:customStyle="1" w:styleId="Author" w:type="paragraph">
    <w:name w:val="Author"/>
    <w:basedOn w:val="Title"/>
    <w:next w:val="BodyText"/>
    <w:qFormat/>
    <w:pPr>
      <w:keepNext w:val="true"/>
      <w:keepLines/>
    </w:pPr>
    <w:rPr>
      <w:sz w:val="24"/>
      <w:szCs w:val="24"/>
    </w:rPr>
  </w:style>
  <w:style w:styleId="Date" w:type="paragraph">
    <w:name w:val="Date"/>
    <w:basedOn w:val="Title"/>
    <w:next w:val="BodyText"/>
    <w:qFormat/>
    <w:pPr>
      <w:keepNext w:val="true"/>
      <w:keepLines/>
    </w:pPr>
    <w:rPr>
      <w:sz w:val="24"/>
      <w:szCs w:val="24"/>
    </w:rPr>
  </w:style>
  <w:style w:customStyle="1" w:styleId="AbstractTitle" w:type="paragraph">
    <w:name w:val="Abstract Title"/>
    <w:basedOn w:val="Normal"/>
    <w:next w:val="Abstract"/>
    <w:qFormat/>
    <w:pPr>
      <w:keepNext w:val="true"/>
      <w:keepLines/>
      <w:spacing w:after="0" w:before="300"/>
      <w:jc w:val="center"/>
    </w:pPr>
    <w:rPr>
      <w:b/>
      <w:sz w:val="20"/>
      <w:szCs w:val="20"/>
    </w:rPr>
  </w:style>
  <w:style w:customStyle="1" w:styleId="Abstract" w:type="paragraph">
    <w:name w:val="Abstract"/>
    <w:basedOn w:val="Normal"/>
    <w:next w:val="BodyText"/>
    <w:qFormat/>
    <w:pPr>
      <w:keepNext w:val="true"/>
      <w:keepLines/>
      <w:spacing w:after="300" w:before="100"/>
    </w:pPr>
    <w:rPr>
      <w:rFonts w:ascii="Gentium" w:hAnsi="Gentium"/>
      <w:sz w:val="20"/>
      <w:szCs w:val="20"/>
    </w:rPr>
  </w:style>
  <w:style w:styleId="Bibliography" w:type="paragraph">
    <w:name w:val="Bibliography"/>
    <w:basedOn w:val="Normal"/>
    <w:qFormat/>
    <w:pPr/>
    <w:rPr/>
  </w:style>
  <w:style w:styleId="BlockText" w:type="paragraph">
    <w:name w:val="Block Text"/>
    <w:basedOn w:val="BodyText"/>
    <w:next w:val="BodyText"/>
    <w:uiPriority w:val="9"/>
    <w:unhideWhenUsed/>
    <w:qFormat/>
    <w:pPr>
      <w:spacing w:after="100" w:before="100"/>
      <w:ind w:hanging="0" w:left="480" w:right="480"/>
    </w:pPr>
    <w:rPr/>
  </w:style>
  <w:style w:styleId="FootnoteText" w:type="paragraph">
    <w:name w:val="footnote text"/>
    <w:basedOn w:val="Normal"/>
    <w:uiPriority w:val="9"/>
    <w:unhideWhenUsed/>
    <w:qFormat/>
    <w:pPr/>
    <w:rPr>
      <w:rFonts w:ascii="Gentium" w:hAnsi="Gentium"/>
    </w:rPr>
  </w:style>
  <w:style w:styleId="FootnoteBlockText" w:type="paragraph">
    <w:name w:val="Footnote Block Text"/>
    <w:basedOn w:val="FootnoteText"/>
    <w:next w:val="FootnoteText"/>
    <w:uiPriority w:val="9"/>
    <w:unhideWhenUsed/>
    <w:qFormat/>
    <w:pPr>
      <w:spacing w:after="100" w:before="100"/>
      <w:ind w:hanging="0" w:left="480" w:right="480"/>
    </w:pPr>
    <w:rPr>
      <w:rFonts w:ascii="Gentium" w:hAnsi="Gentium"/>
    </w:rPr>
  </w:style>
  <w:style w:customStyle="1" w:styleId="DefinitionTerm" w:type="paragraph">
    <w:name w:val="Definition Term"/>
    <w:basedOn w:val="Normal"/>
    <w:next w:val="Definition"/>
    <w:qFormat/>
    <w:pPr>
      <w:keepNext w:val="true"/>
      <w:keepLines/>
      <w:spacing w:after="0" w:before="0"/>
    </w:pPr>
    <w:rPr>
      <w:rFonts w:ascii="Gentium" w:hAnsi="Gentium"/>
      <w:b/>
    </w:rPr>
  </w:style>
  <w:style w:customStyle="1" w:styleId="Definition" w:type="paragraph">
    <w:name w:val="Definition"/>
    <w:basedOn w:val="Normal"/>
    <w:qFormat/>
    <w:pPr/>
    <w:rPr>
      <w:rFonts w:ascii="Gentium" w:hAnsi="Gentium"/>
    </w:rPr>
  </w:style>
  <w:style w:customStyle="1" w:styleId="TableCaption" w:type="paragraph">
    <w:name w:val="Table Caption"/>
    <w:basedOn w:val="Caption"/>
    <w:qFormat/>
    <w:pPr>
      <w:keepNext w:val="true"/>
    </w:pPr>
    <w:rPr/>
  </w:style>
  <w:style w:customStyle="1" w:styleId="ImageCaption" w:type="paragraph">
    <w:name w:val="Image Caption"/>
    <w:basedOn w:val="Caption"/>
    <w:qFormat/>
    <w:pPr/>
    <w:rPr/>
  </w:style>
  <w:style w:customStyle="1" w:styleId="Figure" w:type="paragraph">
    <w:name w:val="Figure"/>
    <w:basedOn w:val="Normal"/>
    <w:qFormat/>
    <w:pPr/>
    <w:rPr/>
  </w:style>
  <w:style w:customStyle="1" w:styleId="CaptionedFigure" w:type="paragraph">
    <w:name w:val="Captioned Figure"/>
    <w:basedOn w:val="Figure"/>
    <w:qFormat/>
    <w:pPr>
      <w:keepNext w:val="true"/>
    </w:pPr>
    <w:rPr/>
  </w:style>
  <w:style w:styleId="IndexHeading" w:type="paragraph">
    <w:name w:val="index heading"/>
    <w:basedOn w:val="Heading"/>
    <w:pPr/>
    <w:rPr/>
  </w:style>
  <w:style w:styleId="TOCHeading" w:type="paragraph">
    <w:name w:val="TOC Heading"/>
    <w:basedOn w:val="Heading1"/>
    <w:next w:val="BodyText"/>
    <w:uiPriority w:val="39"/>
    <w:unhideWhenUsed/>
    <w:qFormat/>
    <w:pPr>
      <w:spacing w:after="80" w:before="240" w:line="259" w:lineRule="auto"/>
      <w:outlineLvl w:val="9"/>
    </w:pPr>
    <w:rPr>
      <w:rFonts w:ascii="Aptos Display" w:asciiTheme="majorHAnsi" w:cs="" w:cstheme="majorBidi" w:eastAsia="" w:eastAsiaTheme="majorEastAsia" w:hAnsi="Aptos Display" w:hAnsiTheme="majorHAnsi"/>
      <w:b w:val="false"/>
      <w:bCs w:val="false"/>
      <w:color w:themeColor="accent1" w:themeShade="bf" w:val="365F91"/>
    </w:rPr>
  </w:style>
  <w:style w:styleId="Heading10" w:type="paragraph">
    <w:name w:val="Heading 10"/>
    <w:basedOn w:val="Heading"/>
    <w:next w:val="BodyText"/>
    <w:qFormat/>
    <w:pPr>
      <w:numPr>
        <w:ilvl w:val="8"/>
        <w:numId w:val="1"/>
      </w:numPr>
      <w:spacing w:after="60" w:before="60"/>
      <w:outlineLvl w:val="8"/>
    </w:pPr>
    <w:rPr>
      <w:b/>
      <w:bCs/>
      <w:sz w:val="18"/>
      <w:szCs w:val="18"/>
    </w:rPr>
  </w:style>
  <w:style w:styleId="BodyTextIndent" w:type="paragraph">
    <w:name w:val="Body Text Indent"/>
    <w:basedOn w:val="BodyText"/>
    <w:pPr>
      <w:ind w:hanging="0" w:left="283"/>
    </w:pPr>
    <w:rPr/>
  </w:style>
  <w:style w:styleId="BlockQuotation" w:type="paragraph">
    <w:name w:val="Block Quotation"/>
    <w:basedOn w:val="Normal"/>
    <w:qFormat/>
    <w:pPr>
      <w:spacing w:after="283" w:before="0"/>
      <w:ind w:hanging="0" w:left="567" w:right="567"/>
    </w:pPr>
    <w:rPr>
      <w:rFonts w:ascii="Gentium" w:hAnsi="Gentium"/>
    </w:rPr>
  </w:style>
  <w:style w:default="1" w:styleId="Table" w:type="table">
    <w:name w:val="Table"/>
    <w:basedOn w:val="TableNormal"/>
    <w:semiHidden/>
    <w:unhideWhenUsed/>
    <w:qFormat/>
    <w:tblPr>
      <w:tblCellMar>
        <w:top w:type="dxa" w:w="0"/>
        <w:left w:type="dxa" w:w="108"/>
        <w:bottom w:type="dxa" w:w="0"/>
        <w:right w:type="dxa" w:w="108"/>
      </w:tblCellMar>
    </w:tblPr>
    <w:tblStylePr w:type="firstRow">
      <w:tblPr/>
      <w:tcPr>
        <w:tcBorders>
          <w:bottom w:val="single"/>
        </w:tcBorders>
        <w:vAlign w:val="bottom"/>
      </w:tcPr>
    </w:tblStyle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1" Target="https://dharmalekha.info/bibliography/entry/Parpola2023_01" TargetMode="External" /><Relationship Type="http://schemas.openxmlformats.org/officeDocument/2006/relationships/hyperlink" Id="rId9" Target="https://dharmalekha.info/prosody#prosody-169" TargetMode="External" /><Relationship Type="http://schemas.openxmlformats.org/officeDocument/2006/relationships/hyperlink" Id="rId13" Target="https://dharmalekha.info/texts/INSCIK00895" TargetMode="External" /><Relationship Type="http://schemas.openxmlformats.org/officeDocument/2006/relationships/hyperlink" Id="rId14" Target="https://shs.hal.science/halshs-02099598" TargetMode="External" /><Relationship Type="http://schemas.openxmlformats.org/officeDocument/2006/relationships/hyperlink" Id="rId15" Target="https://www.persee.fr/issue/befeo_0336-1519_1928_num_28_3" TargetMode="External" /></Relationships>
</file>

<file path=word/_rels/footnotes.xml.rels><?xml version="1.0" encoding="UTF-8"?><Relationships xmlns="http://schemas.openxmlformats.org/package/2006/relationships"><Relationship Type="http://schemas.openxmlformats.org/officeDocument/2006/relationships/hyperlink" Id="rId11" Target="https://dharmalekha.info/bibliography/entry/Parpola2023_01" TargetMode="External" /><Relationship Type="http://schemas.openxmlformats.org/officeDocument/2006/relationships/hyperlink" Id="rId9" Target="https://dharmalekha.info/prosody#prosody-169" TargetMode="External" /><Relationship Type="http://schemas.openxmlformats.org/officeDocument/2006/relationships/hyperlink" Id="rId13" Target="https://dharmalekha.info/texts/INSCIK00895" TargetMode="External" /><Relationship Type="http://schemas.openxmlformats.org/officeDocument/2006/relationships/hyperlink" Id="rId14" Target="https://shs.hal.science/halshs-02099598" TargetMode="External" /><Relationship Type="http://schemas.openxmlformats.org/officeDocument/2006/relationships/hyperlink" Id="rId15" Target="https://www.persee.fr/issue/befeo_0336-1519_1928_num_28_3" TargetMode="External"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pitchFamily="0" charset="1"/>
        <a:ea typeface=""/>
        <a:cs typeface=""/>
      </a:majorFont>
      <a:minorFont>
        <a:latin typeface="Aptos" panose="02110004020202020204" pitchFamily="0" charset="1"/>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Normal.dotm</Template>
  <TotalTime>31</TotalTime>
  <Application>LibreOffice/26.2.6.3$Linux_X86_64 LibreOffice_project/620$Build-3</Application>
  <AppVersion>15.0000</AppVersion>
  <Pages>1</Pages>
  <Words>60</Words>
  <Characters>366</Characters>
  <CharactersWithSpaces>396</CharactersWithSpaces>
  <Paragraphs>30</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Bottom part of architectural crown from Khánh Lễ (C. 175), ca. 10th c. CE</dc:title>
  <dc:creator/>
  <cp:keywords/>
  <dcterms:created xsi:type="dcterms:W3CDTF">2026-09-30T10:58:35Z</dcterms:created>
  <dcterms:modified xsi:type="dcterms:W3CDTF">2026-09-30T10:58:35Z</dcterms:modified>
</cp:coreProperties>
</file>

<file path=docProps/custom.xml><?xml version="1.0" encoding="utf-8"?>
<Properties xmlns="http://schemas.openxmlformats.org/officeDocument/2006/custom-properties" xmlns:vt="http://schemas.openxmlformats.org/officeDocument/2006/docPropsVTypes"/>
</file>