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Rock on hilltop near Po Klaong Garai (C. 120), 972 Śaka</w:t>
      </w:r>
    </w:p>
    <w:p>
      <w:pPr>
        <w:pStyle w:val="Author"/>
      </w:pPr>
      <w:r>
        <w:t xml:space="preserve">Arlo Griffiths</w:t>
      </w:r>
    </w:p>
    <w:p>
      <w:pPr>
        <w:pStyle w:val="FirstParagraph"/>
      </w:pPr>
      <w:r>
        <w:t xml:space="preserve">Author of digital edition: Arlo Griffiths</w:t>
      </w:r>
    </w:p>
    <w:p>
      <w:pPr>
        <w:pStyle w:val="BodyText"/>
      </w:pPr>
      <w:r>
        <w:t xml:space="preserve">Identifier: DHARMA_INSCIC00120</w:t>
      </w:r>
    </w:p>
    <w:p>
      <w:pPr>
        <w:pStyle w:val="BodyText"/>
      </w:pPr>
      <w:r>
        <w:t xml:space="preserve">Repository: Campā (tfc-campa-epigraphy)</w:t>
      </w:r>
    </w:p>
    <w:p>
      <w:pPr>
        <w:pStyle w:val="BodyText"/>
      </w:pPr>
      <w:r>
        <w:t xml:space="preserve">File path: xml/DHARMA_INSCIC00120.xml</w:t>
      </w:r>
    </w:p>
    <w:p>
      <w:pPr>
        <w:pStyle w:val="BodyText"/>
      </w:pPr>
      <w:r>
        <w:t xml:space="preserve">Languages: Old Cham [Cam], Sanskrit [Cam]</w:t>
      </w:r>
    </w:p>
    <w:p>
      <w:pPr>
        <w:pStyle w:val="BodyText"/>
      </w:pPr>
      <w:r>
        <w:t xml:space="preserve">Commit: 2026-09-19 07:34 (e13d61a), last modified 2026-09-16 06:32 (d2f72d3)</w:t>
      </w:r>
    </w:p>
    <w:p>
      <w:r>
        <w:pict>
          <v:rect style="width:0;height:1.5pt" o:hralign="center" o:hrstd="t" o:hr="t"/>
        </w:pict>
      </w:r>
    </w:p>
    <w:p>
      <w:pPr>
        <w:pStyle w:val="Heading1"/>
      </w:pPr>
      <w:r>
        <w:t xml:space="preserve">Edition</w:t>
      </w:r>
    </w:p>
    <w:p>
      <w:pPr>
        <w:pStyle w:val="FirstParagraph"/>
      </w:pPr>
      <w:r>
        <w:rPr>
          <w:rStyle w:val="ColorGray"/>
        </w:rPr>
        <w:t xml:space="preserve">⟨Face A: Upper horizontal⟩</w:t>
      </w:r>
      <w:r>
        <w:rPr>
          <w:rStyle w:val="ColorGray"/>
        </w:rPr>
        <w:t xml:space="preserve"> </w:t>
      </w:r>
      <w:r>
        <w:rPr>
          <w:rStyle w:val="ColorGray"/>
        </w:rPr>
        <w:t xml:space="preserve"> </w:t>
      </w:r>
      <w:r>
        <w:rPr>
          <w:rStyle w:val="ColorGray"/>
        </w:rPr>
        <w:t xml:space="preserve">⟨A1⟩</w:t>
      </w:r>
      <w:r>
        <w:rPr>
          <w:rStyle w:val="ColorGray"/>
        </w:rPr>
        <w:t xml:space="preserve"> </w:t>
      </w:r>
      <w:r>
        <w:t xml:space="preserve">∥|꩜∥ svasti ∥</w:t>
      </w:r>
    </w:p>
    <w:p>
      <w:pPr>
        <w:pStyle w:val="BodyText"/>
      </w:pPr>
      <w:r>
        <w:t xml:space="preserve">1.</w:t>
      </w:r>
      <w:r>
        <w:t xml:space="preserve"> </w:t>
      </w:r>
      <w:hyperlink r:id="rId9">
        <w:r>
          <w:rPr>
            <w:rStyle w:val="Hyperlink"/>
          </w:rPr>
          <w:t xml:space="preserve">Anuṣṭubh</w:t>
        </w:r>
      </w:hyperlink>
    </w:p>
    <w:p>
      <w:pPr>
        <w:pStyle w:val="BodyText"/>
      </w:pPr>
      <w:r>
        <w:t xml:space="preserve">pakṣādri-navabhir bbhukte</w:t>
      </w:r>
      <w:r>
        <w:br/>
      </w:r>
      <w:r>
        <w:t xml:space="preserve">śake liṅgam atiṣṭhipat |</w:t>
      </w:r>
      <w:r>
        <w:br/>
      </w:r>
      <w:r>
        <w:t xml:space="preserve">nāmnā śrī</w:t>
      </w:r>
      <w:r>
        <w:rPr>
          <w:rStyle w:val="ColorGray"/>
        </w:rPr>
        <w:t xml:space="preserve">⟨A2⟩</w:t>
      </w:r>
      <w:r>
        <w:t xml:space="preserve">-devarājo ⟨’⟩sau</w:t>
      </w:r>
      <w:r>
        <w:br/>
      </w:r>
      <w:r>
        <w:t xml:space="preserve">kṣatriyo guṇa-kovidaḥ ∥</w:t>
      </w:r>
    </w:p>
    <w:p>
      <w:pPr>
        <w:pStyle w:val="BodyText"/>
      </w:pPr>
      <w:r>
        <w:t xml:space="preserve">2. Mixed meter</w:t>
      </w:r>
    </w:p>
    <w:p>
      <w:pPr>
        <w:pStyle w:val="BodyText"/>
      </w:pPr>
      <w:r>
        <w:t xml:space="preserve">sa jayati jita-śatru-vargga Ājāv</w:t>
      </w:r>
      <w:r>
        <w:br/>
      </w:r>
      <w:r>
        <w:t xml:space="preserve">ajita-bhuja-vikra</w:t>
      </w:r>
      <w:r>
        <w:rPr>
          <w:rStyle w:val="ColorGray"/>
        </w:rPr>
        <w:t xml:space="preserve">⟨A3⟩</w:t>
      </w:r>
      <w:r>
        <w:t xml:space="preserve">ma Indra-sūnu-tulyaḥ |</w:t>
      </w:r>
      <w:r>
        <w:br/>
      </w:r>
      <w:r>
        <w:t xml:space="preserve">pr̥thu-yaśa-Upaviṣṭa-kambu-rāṣṭro</w:t>
      </w:r>
      <w:r>
        <w:br/>
      </w:r>
      <w:r>
        <w:t xml:space="preserve">daśa-diśa-bhaya-kr̥c ca campa-rāja-pālī ∥</w:t>
      </w:r>
    </w:p>
    <w:p>
      <w:pPr>
        <w:pStyle w:val="BodyText"/>
      </w:pPr>
      <w:r>
        <w:rPr>
          <w:rStyle w:val="ColorGray"/>
        </w:rPr>
        <w:t xml:space="preserve">⟨Face B: Vertical⟩</w:t>
      </w:r>
      <w:r>
        <w:rPr>
          <w:rStyle w:val="ColorGray"/>
        </w:rPr>
        <w:t xml:space="preserve"> </w:t>
      </w:r>
      <w:r>
        <w:rPr>
          <w:rStyle w:val="ColorGray"/>
        </w:rPr>
        <w:t xml:space="preserve"> </w:t>
      </w:r>
      <w:r>
        <w:rPr>
          <w:rStyle w:val="ColorGray"/>
        </w:rPr>
        <w:t xml:space="preserve">⟨B1⟩</w:t>
      </w:r>
      <w:r>
        <w:rPr>
          <w:rStyle w:val="ColorGray"/>
        </w:rPr>
        <w:t xml:space="preserve"> </w:t>
      </w:r>
      <w:r>
        <w:t xml:space="preserve">| svasti ∥</w:t>
      </w:r>
    </w:p>
    <w:p>
      <w:pPr>
        <w:pStyle w:val="BodyText"/>
      </w:pPr>
      <w:r>
        <w:t xml:space="preserve">3.</w:t>
      </w:r>
      <w:r>
        <w:t xml:space="preserve"> </w:t>
      </w:r>
      <w:hyperlink r:id="rId10">
        <w:r>
          <w:rPr>
            <w:rStyle w:val="Hyperlink"/>
          </w:rPr>
          <w:t xml:space="preserve">Śārdūlavikrīḍita</w:t>
        </w:r>
      </w:hyperlink>
    </w:p>
    <w:p>
      <w:pPr>
        <w:pStyle w:val="BodyText"/>
      </w:pPr>
      <w:r>
        <w:t xml:space="preserve">rāj⟨ñ⟩aś śrī-parameśvarasya mahataḥ putro ⟨’⟩nujāyā jayī</w:t>
      </w:r>
      <w:r>
        <w:br/>
      </w:r>
      <w:r>
        <w:t xml:space="preserve">tyāgī śīla-guṇānvitas sutanu-mānsa-svāpateyo mahān· |</w:t>
      </w:r>
      <w:r>
        <w:br/>
      </w:r>
      <w:r>
        <w:t xml:space="preserve">śuddhendu-dyutivad-yaśobhi</w:t>
      </w:r>
      <w:r>
        <w:rPr>
          <w:rStyle w:val="ColorGray"/>
        </w:rPr>
        <w:t xml:space="preserve">⟨B2⟩</w:t>
      </w:r>
      <w:r>
        <w:t xml:space="preserve">r aniśaṁ pradyotitāśo raṇe</w:t>
      </w:r>
      <w:r>
        <w:br/>
      </w:r>
      <w:r>
        <w:t xml:space="preserve">dāne śūrataro rarāja satataṁ śrī-devarājodbhutam· ∥</w:t>
      </w:r>
    </w:p>
    <w:p>
      <w:pPr>
        <w:pStyle w:val="BodyText"/>
      </w:pPr>
      <w:r>
        <w:t xml:space="preserve">4.</w:t>
      </w:r>
      <w:r>
        <w:t xml:space="preserve"> </w:t>
      </w:r>
      <w:hyperlink r:id="rId9">
        <w:r>
          <w:rPr>
            <w:rStyle w:val="Hyperlink"/>
          </w:rPr>
          <w:t xml:space="preserve">Anuṣṭubh</w:t>
        </w:r>
      </w:hyperlink>
    </w:p>
    <w:p>
      <w:pPr>
        <w:pStyle w:val="BodyText"/>
      </w:pPr>
      <w:r>
        <w:t xml:space="preserve">kuśa-śaila-guhā-yukte</w:t>
      </w:r>
      <w:r>
        <w:br/>
      </w:r>
      <w:r>
        <w:t xml:space="preserve">śaka-kāle śilātmakam· |</w:t>
      </w:r>
      <w:r>
        <w:br/>
      </w:r>
      <w:r>
        <w:t xml:space="preserve">liṅgaṁ svalpa</w:t>
      </w:r>
      <w:r>
        <w:rPr>
          <w:rStyle w:val="ColorGray"/>
        </w:rPr>
        <w:t xml:space="preserve">⟨B3⟩</w:t>
      </w:r>
      <w:r>
        <w:t xml:space="preserve">m api svasthaṁ</w:t>
      </w:r>
      <w:r>
        <w:br/>
      </w:r>
      <w:r>
        <w:t xml:space="preserve">sthāpitan tena kīrttaye ∥</w:t>
      </w:r>
    </w:p>
    <w:p>
      <w:pPr>
        <w:pStyle w:val="BodyText"/>
      </w:pPr>
      <w:r>
        <w:t xml:space="preserve">di śaka-rāja 972 kāla pu-pom̃ pu-lyam̃ śrī devarāja mahā-senāpatī ya kumvan· yā(m̃) po ku śrī parameśvaravarmmadeva</w:t>
      </w:r>
      <w:r>
        <w:rPr>
          <w:rStyle w:val="ColorGray"/>
        </w:rPr>
        <w:t xml:space="preserve"> </w:t>
      </w:r>
      <w:r>
        <w:rPr>
          <w:rStyle w:val="ColorGray"/>
        </w:rPr>
        <w:t xml:space="preserve">⟨B4⟩</w:t>
      </w:r>
      <w:r>
        <w:rPr>
          <w:rStyle w:val="ColorGray"/>
        </w:rPr>
        <w:t xml:space="preserve"> </w:t>
      </w:r>
      <w:r>
        <w:t xml:space="preserve">nan· marai mak· nagara pāṇḍuraṅga niy· saum̃ yām̃ po ku śrī parameśvaravarmmadeva riy· | nan· ra ndok· vatuv· di vala pagā dunan· sa driy· sa vauḥ di dadam̃n· tuvuḥ Avista pi cai</w:t>
      </w:r>
      <w:r>
        <w:rPr>
          <w:rStyle w:val="ColorGray"/>
        </w:rPr>
        <w:t xml:space="preserve"> </w:t>
      </w:r>
      <w:r>
        <w:rPr>
          <w:rStyle w:val="ColorGray"/>
        </w:rPr>
        <w:t xml:space="preserve">⟨B5⟩</w:t>
      </w:r>
      <w:r>
        <w:rPr>
          <w:rStyle w:val="ColorGray"/>
        </w:rPr>
        <w:t xml:space="preserve"> </w:t>
      </w:r>
      <w:r>
        <w:t xml:space="preserve">ra mamvuk vacam̃(?) tuy· sam̃khyā vala nan· mam̃n· kintu hetu dunan· kevala tad-gata-mānasa-battī yām̃ po ku śrī parameśvara sadākāla mam̃n· si jem̃ dunan· padap· vatuv· nan· pajem̃ śivaliṅga niy· sa yam̃ṅ· prayo</w:t>
      </w:r>
      <w:r>
        <w:rPr>
          <w:rStyle w:val="ColorGray"/>
        </w:rPr>
        <w:t xml:space="preserve">⟨B6⟩</w:t>
      </w:r>
      <w:r>
        <w:t xml:space="preserve">jana karaṇa kīrtti di loka niy· tra prayojana siy· madā pakam̃n·</w:t>
      </w:r>
      <w:r>
        <w:t xml:space="preserve"> </w:t>
      </w:r>
      <w:r>
        <w:rPr>
          <w:rStyle w:val="ColorRed"/>
        </w:rPr>
        <w:t xml:space="preserve">¿Ārtma?</w:t>
      </w:r>
      <w:r>
        <w:t xml:space="preserve"> </w:t>
      </w:r>
      <w:r>
        <w:t xml:space="preserve">dunan· di paraloka dudiy· tra ∥</w:t>
      </w:r>
    </w:p>
    <w:p>
      <w:pPr>
        <w:pStyle w:val="Heading1"/>
      </w:pPr>
      <w:r>
        <w:t xml:space="preserve">Apparatus</w:t>
      </w:r>
    </w:p>
    <w:p>
      <w:pPr>
        <w:pStyle w:val="FirstParagraph"/>
      </w:pPr>
      <w:r>
        <w:rPr>
          <w:rStyle w:val="ColorGray"/>
        </w:rPr>
        <w:t xml:space="preserve">⟨B1⟩</w:t>
      </w:r>
      <w:r>
        <w:t xml:space="preserve"> </w:t>
      </w:r>
      <w:r>
        <w:t xml:space="preserve">rāj⟨ñ⟩aś ⬦</w:t>
      </w:r>
      <w:r>
        <w:t xml:space="preserve"> </w:t>
      </w:r>
      <w:r>
        <w:rPr>
          <w:rStyle w:val="ColorGreen"/>
          <w:i/>
          <w:iCs/>
        </w:rPr>
        <w:t xml:space="preserve">rājas</w:t>
      </w:r>
      <w:r>
        <w:t xml:space="preserve"> </w:t>
      </w:r>
      <w:r>
        <w:t xml:space="preserve">F.</w:t>
      </w:r>
    </w:p>
    <w:p>
      <w:pPr>
        <w:pStyle w:val="BodyText"/>
      </w:pPr>
      <w:r>
        <w:rPr>
          <w:rStyle w:val="ColorGray"/>
        </w:rPr>
        <w:t xml:space="preserve">⟨B3⟩</w:t>
      </w:r>
      <w:r>
        <w:t xml:space="preserve"> </w:t>
      </w:r>
      <w:r>
        <w:t xml:space="preserve">972 ⬦</w:t>
      </w:r>
      <w:r>
        <w:t xml:space="preserve"> </w:t>
      </w:r>
      <w:r>
        <w:rPr>
          <w:rStyle w:val="ColorRed"/>
          <w:i/>
          <w:iCs/>
        </w:rPr>
        <w:t xml:space="preserve">¿792?</w:t>
      </w:r>
      <w:r>
        <w:t xml:space="preserve"> </w:t>
      </w:r>
      <w:r>
        <w:t xml:space="preserve">F • Finot revised his reading in Finot 1915.</w:t>
      </w:r>
    </w:p>
    <w:p>
      <w:pPr>
        <w:pStyle w:val="BodyText"/>
      </w:pPr>
      <w:r>
        <w:rPr>
          <w:rStyle w:val="ColorGray"/>
        </w:rPr>
        <w:t xml:space="preserve">⟨B5⟩</w:t>
      </w:r>
      <w:r>
        <w:t xml:space="preserve"> </w:t>
      </w:r>
      <w:r>
        <w:t xml:space="preserve">prayo</w:t>
      </w:r>
      <w:r>
        <w:rPr>
          <w:rStyle w:val="ColorGray"/>
        </w:rPr>
        <w:t xml:space="preserve">⟨B6⟩</w:t>
      </w:r>
      <w:r>
        <w:t xml:space="preserve">jana karaṇa kīrtti ⬦</w:t>
      </w:r>
      <w:r>
        <w:t xml:space="preserve"> </w:t>
      </w:r>
      <w:r>
        <w:rPr>
          <w:rStyle w:val="ColorGreen"/>
          <w:i/>
          <w:iCs/>
        </w:rPr>
        <w:t xml:space="preserve">prayo</w:t>
      </w:r>
      <w:r>
        <w:rPr>
          <w:rStyle w:val="ColorGray"/>
          <w:i/>
          <w:iCs/>
        </w:rPr>
        <w:t xml:space="preserve">⟨B6⟩</w:t>
      </w:r>
      <w:r>
        <w:rPr>
          <w:rStyle w:val="ColorGreen"/>
          <w:i/>
          <w:iCs/>
        </w:rPr>
        <w:t xml:space="preserve">janak raṇakīrtti</w:t>
      </w:r>
      <w:r>
        <w:t xml:space="preserve"> </w:t>
      </w:r>
      <w:r>
        <w:t xml:space="preserve">F.</w:t>
      </w:r>
    </w:p>
    <w:p>
      <w:pPr>
        <w:pStyle w:val="Heading1"/>
      </w:pPr>
      <w:r>
        <w:t xml:space="preserve">Commentary</w:t>
      </w:r>
    </w:p>
    <w:p>
      <w:pPr>
        <w:pStyle w:val="FirstParagraph"/>
      </w:pPr>
      <w:r>
        <w:t xml:space="preserve">Finot identified stanza II as</w:t>
      </w:r>
      <w:r>
        <w:t xml:space="preserve"> </w:t>
      </w:r>
      <w:r>
        <w:rPr>
          <w:i/>
          <w:iCs/>
        </w:rPr>
        <w:t xml:space="preserve">puṣpitāgrā</w:t>
      </w:r>
      <w:r>
        <w:t xml:space="preserve"> </w:t>
      </w:r>
      <w:r>
        <w:t xml:space="preserve">but it does not actually have that pattern.</w:t>
      </w:r>
    </w:p>
    <w:p>
      <w:pPr>
        <w:pStyle w:val="Heading1"/>
      </w:pPr>
      <w:r>
        <w:t xml:space="preserve">Bibliography</w:t>
      </w:r>
    </w:p>
    <w:p>
      <w:pPr>
        <w:pStyle w:val="FirstParagraph"/>
      </w:pPr>
      <w:r>
        <w:t xml:space="preserve">First edited by Louis Finot (1909). Re-edited here without consultation of any visual documentation, as EFEO estampages 564 and 565 have not yet been digitized and the inscription has not been found back during fieldwork since 2009.</w:t>
      </w:r>
    </w:p>
    <w:p>
      <w:pPr>
        <w:pStyle w:val="Heading2"/>
      </w:pPr>
      <w:r>
        <w:t xml:space="preserve">Primary</w:t>
      </w:r>
    </w:p>
    <w:p>
      <w:pPr>
        <w:pStyle w:val="FirstParagraph"/>
      </w:pPr>
      <w:r>
        <w:rPr>
          <w:b/>
          <w:bCs/>
        </w:rPr>
        <w:t xml:space="preserve">[F]</w:t>
      </w:r>
      <w:r>
        <w:t xml:space="preserve"> </w:t>
      </w:r>
      <w:r>
        <w:t xml:space="preserve">Finot, Louis. 1909. “Notes d’épigraphie, XII : Nouvelles inscriptions de Pō Klauṅ Garai.” BEFEO 9, pp. 205–209. DOI:</w:t>
      </w:r>
      <w:r>
        <w:t xml:space="preserve"> </w:t>
      </w:r>
      <w:hyperlink r:id="rId11">
        <w:r>
          <w:rPr>
            <w:rStyle w:val="Hyperlink"/>
          </w:rPr>
          <w:t xml:space="preserve">10.3406/befeo.1909.1930</w:t>
        </w:r>
      </w:hyperlink>
      <w:r>
        <w:t xml:space="preserve">.</w:t>
      </w:r>
      <w:r>
        <w:t xml:space="preserve"> </w:t>
      </w:r>
      <w:hyperlink r:id="rId12">
        <w:r>
          <w:rPr>
            <w:rStyle w:val="Hyperlink"/>
          </w:rPr>
          <w:t xml:space="preserve">[URL]</w:t>
        </w:r>
      </w:hyperlink>
      <w:r>
        <w:t xml:space="preserve">. Pages 208–209.</w:t>
      </w:r>
    </w:p>
    <w:p>
      <w:pPr>
        <w:pStyle w:val="Heading2"/>
      </w:pPr>
      <w:r>
        <w:t xml:space="preserve">Secondary</w:t>
      </w:r>
    </w:p>
    <w:p>
      <w:pPr>
        <w:pStyle w:val="FirstParagraph"/>
      </w:pPr>
      <w:r>
        <w:t xml:space="preserve">JA 1908. “Chronique : XV</w:t>
      </w:r>
      <w:r>
        <w:rPr>
          <w:vertAlign w:val="superscript"/>
        </w:rPr>
        <w:t xml:space="preserve">e</w:t>
      </w:r>
      <w:r>
        <w:t xml:space="preserve"> </w:t>
      </w:r>
      <w:r>
        <w:t xml:space="preserve">Congrès international des Orientalistes. — III</w:t>
      </w:r>
      <w:r>
        <w:rPr>
          <w:vertAlign w:val="superscript"/>
        </w:rPr>
        <w:t xml:space="preserve">e</w:t>
      </w:r>
      <w:r>
        <w:t xml:space="preserve"> </w:t>
      </w:r>
      <w:r>
        <w:t xml:space="preserve">Congrès de l’histoire des religions. — Varia.” JA 10e série, 12 (1908), pp. 312–338.</w:t>
      </w:r>
      <w:r>
        <w:t xml:space="preserve"> </w:t>
      </w:r>
      <w:hyperlink r:id="rId13">
        <w:r>
          <w:rPr>
            <w:rStyle w:val="Hyperlink"/>
          </w:rPr>
          <w:t xml:space="preserve">[URL]</w:t>
        </w:r>
      </w:hyperlink>
      <w:r>
        <w:t xml:space="preserve">. Page 331.</w:t>
      </w:r>
    </w:p>
    <w:p>
      <w:pPr>
        <w:pStyle w:val="BodyText"/>
      </w:pPr>
      <w:r>
        <w:t xml:space="preserve">Parmentier, Henri. 1909.</w:t>
      </w:r>
      <w:r>
        <w:t xml:space="preserve"> </w:t>
      </w:r>
      <w:r>
        <w:rPr>
          <w:i/>
          <w:iCs/>
        </w:rPr>
        <w:t xml:space="preserve">Inventaire descriptif des monuments čams de l’Annam. Tome premier: Description des monuments</w:t>
      </w:r>
      <w:r>
        <w:t xml:space="preserve">. Paris: Imprimerie nationale.</w:t>
      </w:r>
      <w:r>
        <w:t xml:space="preserve"> </w:t>
      </w:r>
      <w:hyperlink r:id="rId14">
        <w:r>
          <w:rPr>
            <w:rStyle w:val="Hyperlink"/>
          </w:rPr>
          <w:t xml:space="preserve">[URL]</w:t>
        </w:r>
      </w:hyperlink>
      <w:r>
        <w:t xml:space="preserve">. Pages 95–96.</w:t>
      </w:r>
    </w:p>
    <w:p>
      <w:pPr>
        <w:pStyle w:val="BodyText"/>
      </w:pPr>
      <w:r>
        <w:t xml:space="preserve">Finot, Louis. 1915. “Notes d’épigraphie, XV : Les inscriptions de Jaya Parameçvaravarman I roi du Champa.” BEFEO 15 (2), pp. 39–52. DOI:</w:t>
      </w:r>
      <w:r>
        <w:t xml:space="preserve"> </w:t>
      </w:r>
      <w:hyperlink r:id="rId15">
        <w:r>
          <w:rPr>
            <w:rStyle w:val="Hyperlink"/>
          </w:rPr>
          <w:t xml:space="preserve">10.3406/befeo.1915.5229</w:t>
        </w:r>
      </w:hyperlink>
      <w:r>
        <w:t xml:space="preserve">.</w:t>
      </w:r>
      <w:r>
        <w:t xml:space="preserve"> </w:t>
      </w:r>
      <w:hyperlink r:id="rId16">
        <w:r>
          <w:rPr>
            <w:rStyle w:val="Hyperlink"/>
          </w:rPr>
          <w:t xml:space="preserve">[URL]</w:t>
        </w:r>
      </w:hyperlink>
      <w:r>
        <w:t xml:space="preserve">. Pages 40–41, 49.</w:t>
      </w:r>
    </w:p>
    <w:p>
      <w:pPr>
        <w:pStyle w:val="BodyText"/>
      </w:pPr>
      <w:r>
        <w:t xml:space="preserve">Majumdar, Ramesh Chandra. 1927.</w:t>
      </w:r>
      <w:r>
        <w:t xml:space="preserve"> </w:t>
      </w:r>
      <w:r>
        <w:rPr>
          <w:i/>
          <w:iCs/>
        </w:rPr>
        <w:t xml:space="preserve">Ancient Indian colonies in the Far East, Vol. I: Champa</w:t>
      </w:r>
      <w:r>
        <w:t xml:space="preserve">. Punjab Oriental (Sanskrit) Series 16. Lahore: The Punjab Sanskrit Book Depot.</w:t>
      </w:r>
      <w:r>
        <w:t xml:space="preserve"> </w:t>
      </w:r>
      <w:hyperlink r:id="rId17">
        <w:r>
          <w:rPr>
            <w:rStyle w:val="Hyperlink"/>
          </w:rPr>
          <w:t xml:space="preserve">[URL]</w:t>
        </w:r>
      </w:hyperlink>
      <w:r>
        <w:t xml:space="preserve">. Book III, pages 145–147, item 52.</w:t>
      </w:r>
    </w:p>
    <w:p>
      <w:pPr>
        <w:pStyle w:val="BodyText"/>
      </w:pPr>
      <w:r>
        <w:t xml:space="preserve">Golzio, Karl-Heinz. 2004.</w:t>
      </w:r>
      <w:r>
        <w:t xml:space="preserve"> </w:t>
      </w:r>
      <w:r>
        <w:rPr>
          <w:i/>
          <w:iCs/>
        </w:rPr>
        <w:t xml:space="preserve">Inscriptions of Campā: Based on the editions and translations of Abel Bergaigne, Étienne Aymonier, Louis Finot, Édouard Huber and other French scholars and of the work of R. C. Majumdar; newly presented, with minor corrections of texts and translations, together with calculations of given dates</w:t>
      </w:r>
      <w:r>
        <w:t xml:space="preserve">. Aachen: Shaker Verlag. Pages 124–126.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hdl.handle.net/10524/47245" TargetMode="External" /><Relationship Type="http://schemas.openxmlformats.org/officeDocument/2006/relationships/hyperlink" Id="rId17" Target="https://archive.org/details/in.ernet.dli.2015.533856" TargetMode="External" /><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69" TargetMode="External" /><Relationship Type="http://schemas.openxmlformats.org/officeDocument/2006/relationships/hyperlink" Id="rId11" Target="https://doi.org/10.3406/befeo.1909.1930" TargetMode="External" /><Relationship Type="http://schemas.openxmlformats.org/officeDocument/2006/relationships/hyperlink" Id="rId15" Target="https://doi.org/10.3406/befeo.1915.5229" TargetMode="External" /><Relationship Type="http://schemas.openxmlformats.org/officeDocument/2006/relationships/hyperlink" Id="rId13" Target="https://gallica.bnf.fr/ark:/12148/bpt6k932739" TargetMode="External" /><Relationship Type="http://schemas.openxmlformats.org/officeDocument/2006/relationships/hyperlink" Id="rId12" Target="https://www.persee.fr/doc/befeo_0336-1519_1909_num_9_1_1930" TargetMode="External" /><Relationship Type="http://schemas.openxmlformats.org/officeDocument/2006/relationships/hyperlink" Id="rId16" Target="https://www.persee.fr/doc/befeo_0336-1519_1915_num_15_1_5229" TargetMode="External" /></Relationships>
</file>

<file path=word/_rels/footnotes.xml.rels><?xml version="1.0" encoding="UTF-8"?><Relationships xmlns="http://schemas.openxmlformats.org/package/2006/relationships"><Relationship Type="http://schemas.openxmlformats.org/officeDocument/2006/relationships/hyperlink" Id="rId14" Target="http://hdl.handle.net/10524/47245" TargetMode="External" /><Relationship Type="http://schemas.openxmlformats.org/officeDocument/2006/relationships/hyperlink" Id="rId17" Target="https://archive.org/details/in.ernet.dli.2015.533856" TargetMode="External" /><Relationship Type="http://schemas.openxmlformats.org/officeDocument/2006/relationships/hyperlink" Id="rId10" Target="https://dharmalekha.info/prosody#prosody-115" TargetMode="External" /><Relationship Type="http://schemas.openxmlformats.org/officeDocument/2006/relationships/hyperlink" Id="rId9" Target="https://dharmalekha.info/prosody#prosody-169" TargetMode="External" /><Relationship Type="http://schemas.openxmlformats.org/officeDocument/2006/relationships/hyperlink" Id="rId11" Target="https://doi.org/10.3406/befeo.1909.1930" TargetMode="External" /><Relationship Type="http://schemas.openxmlformats.org/officeDocument/2006/relationships/hyperlink" Id="rId15" Target="https://doi.org/10.3406/befeo.1915.5229" TargetMode="External" /><Relationship Type="http://schemas.openxmlformats.org/officeDocument/2006/relationships/hyperlink" Id="rId13" Target="https://gallica.bnf.fr/ark:/12148/bpt6k932739" TargetMode="External" /><Relationship Type="http://schemas.openxmlformats.org/officeDocument/2006/relationships/hyperlink" Id="rId12" Target="https://www.persee.fr/doc/befeo_0336-1519_1909_num_9_1_1930" TargetMode="External" /><Relationship Type="http://schemas.openxmlformats.org/officeDocument/2006/relationships/hyperlink" Id="rId16" Target="https://www.persee.fr/doc/befeo_0336-1519_1915_num_15_1_522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 on hilltop near Po Klaong Garai (C. 120), 972 Śaka</dc:title>
  <dc:creator>Arlo Griffiths</dc:creator>
  <cp:keywords/>
  <dcterms:created xsi:type="dcterms:W3CDTF">2026-10-26T17:52:56Z</dcterms:created>
  <dcterms:modified xsi:type="dcterms:W3CDTF">2026-10-26T17:52:56Z</dcterms:modified>
</cp:coreProperties>
</file>

<file path=docProps/custom.xml><?xml version="1.0" encoding="utf-8"?>
<Properties xmlns="http://schemas.openxmlformats.org/officeDocument/2006/custom-properties" xmlns:vt="http://schemas.openxmlformats.org/officeDocument/2006/docPropsVTypes"/>
</file>