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Bình Định royal gate doorjamb (C. 47), 1323 Śaka</w:t>
      </w:r>
    </w:p>
    <w:p>
      <w:pPr>
        <w:pStyle w:val="Author"/>
      </w:pPr>
      <w:r>
        <w:t xml:space="preserve">Arlo Griffiths</w:t>
      </w:r>
    </w:p>
    <w:p>
      <w:pPr>
        <w:pStyle w:val="FirstParagraph"/>
      </w:pPr>
      <w:r>
        <w:t xml:space="preserve">Author of digital edition: Arlo Griffiths</w:t>
      </w:r>
    </w:p>
    <w:p>
      <w:pPr>
        <w:pStyle w:val="BodyText"/>
      </w:pPr>
      <w:r>
        <w:t xml:space="preserve">Contributor: Arlo Griffiths</w:t>
      </w:r>
    </w:p>
    <w:p>
      <w:pPr>
        <w:pStyle w:val="BodyText"/>
      </w:pPr>
      <w:r>
        <w:t xml:space="preserve">Identifier: DHARMA_INSCIC00047</w:t>
      </w:r>
    </w:p>
    <w:p>
      <w:pPr>
        <w:pStyle w:val="BodyText"/>
      </w:pPr>
      <w:r>
        <w:t xml:space="preserve">Repository: Campā (tfc-campa-epigraphy)</w:t>
      </w:r>
    </w:p>
    <w:p>
      <w:pPr>
        <w:pStyle w:val="BodyText"/>
      </w:pPr>
      <w:r>
        <w:t xml:space="preserve">File path: xml/DHARMA_INSCIC00047.xml</w:t>
      </w:r>
    </w:p>
    <w:p>
      <w:pPr>
        <w:pStyle w:val="BodyText"/>
      </w:pPr>
      <w:r>
        <w:t xml:space="preserve">Language: Old Cham [Cam]</w:t>
      </w:r>
    </w:p>
    <w:p>
      <w:pPr>
        <w:pStyle w:val="BodyText"/>
      </w:pPr>
      <w:r>
        <w:t xml:space="preserve">Commit: 2026-09-19 07:34 (e13d61a), last modified 2026-09-16 06:32 (d2f72d3)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fifteenth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| nī trā madā br̥ṣu</w:t>
      </w:r>
      <w:r>
        <w:rPr>
          <w:rStyle w:val="ColorGray"/>
        </w:rPr>
        <w:t xml:space="preserve">⟨2⟩</w:t>
      </w:r>
      <w:r>
        <w:t xml:space="preserve">vaṅṣa sidaḥ yām̃ pom̃ ku śrī jayasi</w:t>
      </w:r>
      <w:r>
        <w:rPr>
          <w:rStyle w:val="ColorGray"/>
        </w:rPr>
        <w:t xml:space="preserve">⟨3⟩</w:t>
      </w:r>
      <w:r>
        <w:t xml:space="preserve">ṅhavarmmadeva śrī harijātti vīrasi</w:t>
      </w:r>
      <w:r>
        <w:rPr>
          <w:rStyle w:val="ColorGray"/>
        </w:rPr>
        <w:t xml:space="preserve">⟨4⟩</w:t>
      </w:r>
      <w:r>
        <w:t xml:space="preserve">ṅha campapūra pu-pom̃ ku dram̃ṅ· rāja pari</w:t>
      </w:r>
      <w:r>
        <w:rPr>
          <w:rStyle w:val="ColorGray"/>
        </w:rPr>
        <w:t xml:space="preserve">⟨5⟩</w:t>
      </w:r>
      <w:r>
        <w:t xml:space="preserve">pūrṇna dvādaśa varśa kā jīvaṅgatta nau śi</w:t>
      </w:r>
      <w:r>
        <w:rPr>
          <w:rStyle w:val="ColorGray"/>
        </w:rPr>
        <w:t xml:space="preserve">⟨6⟩</w:t>
      </w:r>
      <w:r>
        <w:t xml:space="preserve">vasthāṇna di bhūm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 </w:t>
      </w:r>
      <w:r>
        <w:t xml:space="preserve">yām̃ (vavaḥ) (kr)auṅ· yām̃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pom̃ ku śrī vr̥ṣuviṣn[ujātti] (vī)rabhadra</w:t>
      </w:r>
      <w:r>
        <w:rPr>
          <w:rStyle w:val="ColorGray"/>
        </w:rPr>
        <w:t xml:space="preserve">⟨8⟩</w:t>
      </w:r>
      <w:r>
        <w:t xml:space="preserve">varmmadeva Ātmaja nan[·] dra[m̃]ṅ[·] rāja</w:t>
      </w:r>
    </w:p>
    <w:p>
      <w:pPr>
        <w:pStyle w:val="BodyText"/>
      </w:pPr>
      <w:r>
        <w:t xml:space="preserve">he</w:t>
      </w:r>
      <w:r>
        <w:rPr>
          <w:rStyle w:val="ColorGray"/>
        </w:rPr>
        <w:t xml:space="preserve">⟨9⟩</w:t>
      </w:r>
      <w:r>
        <w:t xml:space="preserve">ttu pītā mātā mvāttuleya A</w:t>
      </w:r>
      <w:r>
        <w:rPr>
          <w:rStyle w:val="ColorGray"/>
        </w:rPr>
        <w:t xml:space="preserve">⟨10⟩</w:t>
      </w:r>
      <w:r>
        <w:t xml:space="preserve">gniḥ-praveśa di bhūmmi nī si Upak· su</w:t>
      </w:r>
      <w:r>
        <w:rPr>
          <w:rStyle w:val="ColorGray"/>
        </w:rPr>
        <w:t xml:space="preserve">⟨11⟩</w:t>
      </w:r>
      <w:r>
        <w:t xml:space="preserve">kha kā tok· humā si rājapītā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pu-pom̃ ku parok· di luvūk· myau | 50</w:t>
      </w:r>
      <w:r>
        <w:rPr>
          <w:rStyle w:val="ColorGray"/>
        </w:rPr>
        <w:t xml:space="preserve">⟨13⟩</w:t>
      </w:r>
      <w:r>
        <w:t xml:space="preserve">0 vijaiḥ ṅan tandom̃ rayā |</w:t>
      </w:r>
    </w:p>
    <w:p>
      <w:pPr>
        <w:pStyle w:val="BodyText"/>
      </w:pPr>
      <w:r>
        <w:t xml:space="preserve">śvam̃n· pirak· 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vauḥ 15 thil· kamandalū pirak· sā 5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thil· | kalauk· pirak· sa thil· | klau</w:t>
      </w:r>
      <w:r>
        <w:rPr>
          <w:rStyle w:val="ColorGray"/>
        </w:rPr>
        <w:t xml:space="preserve">⟨16⟩</w:t>
      </w:r>
      <w:r>
        <w:t xml:space="preserve">ṅ· pirak· {thilaśa} sa thil· | hastiḥ 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drim̃ | hulun· dvā drim̃ Aviḥ nī lumvaḥ śi</w:t>
      </w:r>
      <w:r>
        <w:rPr>
          <w:rStyle w:val="ColorGray"/>
        </w:rPr>
        <w:t xml:space="preserve">⟨18⟩</w:t>
      </w:r>
      <w:r>
        <w:t xml:space="preserve">liḥ yauṁ śaśāṇna bhūmmi nī | di śaka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nī 1323 |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⟨6⟩</w:t>
      </w:r>
      <w:r>
        <w:t xml:space="preserve"> </w:t>
      </w:r>
      <w:r>
        <w:t xml:space="preserve">(vavaḥ) (kr)auṅ· ⬦</w:t>
      </w:r>
      <w:r>
        <w:t xml:space="preserve"> </w:t>
      </w:r>
      <w:r>
        <w:rPr>
          <w:rStyle w:val="ColorGreen"/>
          <w:i/>
          <w:iCs/>
        </w:rPr>
        <w:t xml:space="preserve">[3+] klauṅ·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A</w:t>
      </w:r>
      <w:r>
        <w:rPr>
          <w:rStyle w:val="ColorGray"/>
        </w:rPr>
        <w:t xml:space="preserve">⟨10⟩</w:t>
      </w:r>
      <w:r>
        <w:t xml:space="preserve">gniḥ-praveśa ⬦</w:t>
      </w:r>
      <w:r>
        <w:t xml:space="preserve"> </w:t>
      </w:r>
      <w:r>
        <w:rPr>
          <w:rStyle w:val="ColorGreen"/>
          <w:i/>
          <w:iCs/>
        </w:rPr>
        <w:t xml:space="preserve">A</w:t>
      </w:r>
      <w:r>
        <w:rPr>
          <w:rStyle w:val="ColorGray"/>
          <w:i/>
          <w:iCs/>
        </w:rPr>
        <w:t xml:space="preserve">⟨10⟩</w:t>
      </w:r>
      <w:r>
        <w:rPr>
          <w:rStyle w:val="ColorGreen"/>
          <w:i/>
          <w:iCs/>
        </w:rPr>
        <w:t xml:space="preserve">nniḥ praveśa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su</w:t>
      </w:r>
      <w:r>
        <w:rPr>
          <w:rStyle w:val="ColorGray"/>
        </w:rPr>
        <w:t xml:space="preserve">⟨11⟩</w:t>
      </w:r>
      <w:r>
        <w:t xml:space="preserve">kha ⬦</w:t>
      </w:r>
      <w:r>
        <w:t xml:space="preserve"> </w:t>
      </w:r>
      <w:r>
        <w:rPr>
          <w:rStyle w:val="ColorGreen"/>
          <w:i/>
          <w:iCs/>
        </w:rPr>
        <w:t xml:space="preserve">su</w:t>
      </w:r>
      <w:r>
        <w:rPr>
          <w:rStyle w:val="ColorGray"/>
          <w:i/>
          <w:iCs/>
        </w:rPr>
        <w:t xml:space="preserve">⟨11⟩</w:t>
      </w:r>
      <w:r>
        <w:rPr>
          <w:rStyle w:val="ColorGreen"/>
          <w:i/>
          <w:iCs/>
        </w:rPr>
        <w:t xml:space="preserve">ṇa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⟨11⟩</w:t>
      </w:r>
      <w:r>
        <w:t xml:space="preserve"> </w:t>
      </w:r>
      <w:r>
        <w:t xml:space="preserve">rājapītā ⬦</w:t>
      </w:r>
      <w:r>
        <w:t xml:space="preserve"> </w:t>
      </w:r>
      <w:r>
        <w:rPr>
          <w:rStyle w:val="ColorGreen"/>
          <w:i/>
          <w:iCs/>
        </w:rPr>
        <w:t xml:space="preserve">rājapita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⟨12⟩</w:t>
      </w:r>
      <w:r>
        <w:t xml:space="preserve"> </w:t>
      </w:r>
      <w:r>
        <w:t xml:space="preserve">myau ⬦</w:t>
      </w:r>
      <w:r>
        <w:t xml:space="preserve"> </w:t>
      </w:r>
      <w:r>
        <w:rPr>
          <w:rStyle w:val="ColorGreen"/>
          <w:i/>
          <w:iCs/>
        </w:rPr>
        <w:t xml:space="preserve">kyau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⟨13⟩</w:t>
      </w:r>
      <w:r>
        <w:t xml:space="preserve"> </w:t>
      </w:r>
      <w:r>
        <w:t xml:space="preserve">vijaiḥ ⬦</w:t>
      </w:r>
      <w:r>
        <w:t xml:space="preserve"> </w:t>
      </w:r>
      <w:r>
        <w:rPr>
          <w:rStyle w:val="ColorGreen"/>
          <w:i/>
          <w:iCs/>
        </w:rPr>
        <w:t xml:space="preserve">vījaiḥ</w:t>
      </w:r>
      <w:r>
        <w:t xml:space="preserve"> </w:t>
      </w:r>
      <w:r>
        <w:t xml:space="preserve">LF. —</w:t>
      </w:r>
      <w:r>
        <w:t xml:space="preserve"> </w:t>
      </w:r>
      <w:r>
        <w:rPr>
          <w:rStyle w:val="ColorGray"/>
        </w:rPr>
        <w:t xml:space="preserve">⟨13⟩</w:t>
      </w:r>
      <w:r>
        <w:t xml:space="preserve"> </w:t>
      </w:r>
      <w:r>
        <w:t xml:space="preserve">sa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vauḥ • Actually the character</w:t>
      </w:r>
      <w:r>
        <w:t xml:space="preserve"> </w:t>
      </w:r>
      <w:r>
        <w:rPr>
          <w:i/>
          <w:iCs/>
        </w:rPr>
        <w:t xml:space="preserve">sa</w:t>
      </w:r>
      <w:r>
        <w:t xml:space="preserve"> </w:t>
      </w:r>
      <w:r>
        <w:t xml:space="preserve">is split into two halves by the line break.</w:t>
      </w:r>
    </w:p>
    <w:p>
      <w:pPr>
        <w:pStyle w:val="BodyText"/>
      </w:pPr>
      <w:r>
        <w:rPr>
          <w:rStyle w:val="ColorGray"/>
        </w:rPr>
        <w:t xml:space="preserve">⟨14⟩</w:t>
      </w:r>
      <w:r>
        <w:t xml:space="preserve"> </w:t>
      </w:r>
      <w:r>
        <w:t xml:space="preserve">thil· kamandalū ⬦</w:t>
      </w:r>
      <w:r>
        <w:t xml:space="preserve"> </w:t>
      </w:r>
      <w:r>
        <w:rPr>
          <w:rStyle w:val="ColorGreen"/>
          <w:i/>
          <w:iCs/>
        </w:rPr>
        <w:t xml:space="preserve">thil· | kamandalū</w:t>
      </w:r>
      <w:r>
        <w:t xml:space="preserve"> </w:t>
      </w:r>
      <w:r>
        <w:t xml:space="preserve">LF • The</w:t>
      </w:r>
      <w:r>
        <w:t xml:space="preserve"> </w:t>
      </w:r>
      <w:r>
        <w:rPr>
          <w:i/>
          <w:iCs/>
        </w:rPr>
        <w:t xml:space="preserve">virāma</w:t>
      </w:r>
      <w:r>
        <w:t xml:space="preserve"> </w:t>
      </w:r>
      <w:r>
        <w:t xml:space="preserve">here takes the form of a vertical bar but there is not an additional punctuation bar.</w:t>
      </w:r>
    </w:p>
    <w:p>
      <w:pPr>
        <w:pStyle w:val="BodyText"/>
      </w:pPr>
      <w:r>
        <w:rPr>
          <w:rStyle w:val="ColorGray"/>
        </w:rPr>
        <w:t xml:space="preserve">⟨16⟩</w:t>
      </w:r>
      <w:r>
        <w:t xml:space="preserve"> </w:t>
      </w:r>
      <w:r>
        <w:t xml:space="preserve">{thilaśa} ⬦</w:t>
      </w:r>
      <w:r>
        <w:t xml:space="preserve"> </w:t>
      </w:r>
      <w:r>
        <w:rPr>
          <w:rStyle w:val="ColorGreen"/>
          <w:i/>
          <w:iCs/>
        </w:rPr>
        <w:t xml:space="preserve">thireśa</w:t>
      </w:r>
      <w:r>
        <w:t xml:space="preserve"> </w:t>
      </w:r>
      <w:r>
        <w:t xml:space="preserve">LF.</w:t>
      </w:r>
    </w:p>
    <w:p>
      <w:pPr>
        <w:pStyle w:val="BodyText"/>
      </w:pPr>
      <w:r>
        <w:rPr>
          <w:rStyle w:val="ColorGray"/>
        </w:rPr>
        <w:t xml:space="preserve">⟨17⟩</w:t>
      </w:r>
      <w:r>
        <w:t xml:space="preserve"> </w:t>
      </w:r>
      <w:r>
        <w:t xml:space="preserve">śi</w:t>
      </w:r>
      <w:r>
        <w:rPr>
          <w:rStyle w:val="ColorGray"/>
        </w:rPr>
        <w:t xml:space="preserve">⟨18⟩</w:t>
      </w:r>
      <w:r>
        <w:t xml:space="preserve">liḥ ⬦</w:t>
      </w:r>
      <w:r>
        <w:t xml:space="preserve"> </w:t>
      </w:r>
      <w:r>
        <w:rPr>
          <w:rStyle w:val="ColorGreen"/>
          <w:i/>
          <w:iCs/>
        </w:rPr>
        <w:t xml:space="preserve">śī</w:t>
      </w:r>
      <w:r>
        <w:rPr>
          <w:rStyle w:val="ColorGray"/>
          <w:i/>
          <w:iCs/>
        </w:rPr>
        <w:t xml:space="preserve">⟨18⟩</w:t>
      </w:r>
      <w:r>
        <w:rPr>
          <w:rStyle w:val="ColorGreen"/>
          <w:i/>
          <w:iCs/>
        </w:rPr>
        <w:t xml:space="preserve">liḥ</w:t>
      </w:r>
      <w:r>
        <w:t xml:space="preserve"> </w:t>
      </w:r>
      <w:r>
        <w:t xml:space="preserve">LF.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⟨1–8⟩</w:t>
      </w:r>
      <w:r>
        <w:t xml:space="preserve"> </w:t>
      </w:r>
      <w:r>
        <w:t xml:space="preserve">Hail! Here too was ⟨the prince⟩ of the Br̥ṣu lineage, namely Y.P.K. Śrī Jaya Siṅhavarmadeva, Śrī Harijāti, heroic lion of the Campa City. After my lord had borne the kingship a full twelve years, he died and went to Śiva’s abode in the land of the deity of the river mouth. Y.P.K. Śrī Vr̥ṣu-Viṣṇujāti Vīrabhadravarmadeva, the son, assumed the kingship.</w:t>
      </w:r>
    </w:p>
    <w:p>
      <w:pPr>
        <w:pStyle w:val="BodyText"/>
      </w:pPr>
      <w:r>
        <w:rPr>
          <w:rStyle w:val="ColorGray"/>
        </w:rPr>
        <w:t xml:space="preserve">⟨8–13⟩</w:t>
      </w:r>
      <w:r>
        <w:t xml:space="preserve"> </w:t>
      </w:r>
      <w:r>
        <w:t xml:space="preserve">Because his father, mother, maternal uncle’s children had entered the fire on ⟨it, he wanted to get back⟩ this land that was devoid of benefit (</w:t>
      </w:r>
      <w:r>
        <w:rPr>
          <w:i/>
          <w:iCs/>
        </w:rPr>
        <w:t xml:space="preserve">sukha</w:t>
      </w:r>
      <w:r>
        <w:t xml:space="preserve">) after pawning (?</w:t>
      </w:r>
      <w:r>
        <w:t xml:space="preserve"> </w:t>
      </w:r>
      <w:r>
        <w:rPr>
          <w:i/>
          <w:iCs/>
        </w:rPr>
        <w:t xml:space="preserve">tok</w:t>
      </w:r>
      <w:r>
        <w:t xml:space="preserve">) the fields that the king’s father, my lord, had cleared at Luvūk Myau ⟨measuring⟩ 500</w:t>
      </w:r>
      <w:r>
        <w:t xml:space="preserve"> </w:t>
      </w:r>
      <w:r>
        <w:rPr>
          <w:i/>
          <w:iCs/>
        </w:rPr>
        <w:t xml:space="preserve">vijaih</w:t>
      </w:r>
      <w:r>
        <w:t xml:space="preserve"> </w:t>
      </w:r>
      <w:r>
        <w:t xml:space="preserve">with the great</w:t>
      </w:r>
      <w:r>
        <w:t xml:space="preserve"> </w:t>
      </w:r>
      <w:r>
        <w:rPr>
          <w:i/>
          <w:iCs/>
        </w:rPr>
        <w:t xml:space="preserve">tandoṅ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⟨13–19⟩</w:t>
      </w:r>
      <w:r>
        <w:t xml:space="preserve"> </w:t>
      </w:r>
      <w:r>
        <w:t xml:space="preserve">One silver ornament of 15 tael; one silver ewer of 5 tael; ⟨one⟩ silver bottle of one tael; ⟨one⟩ silver box of one tael; one elephant; two slaves: all these gifts were the exchange value of this</w:t>
      </w:r>
      <w:r>
        <w:t xml:space="preserve"> </w:t>
      </w:r>
      <w:r>
        <w:rPr>
          <w:i/>
          <w:iCs/>
        </w:rPr>
        <w:t xml:space="preserve">śāsana</w:t>
      </w:r>
      <w:r>
        <w:t xml:space="preserve"> </w:t>
      </w:r>
      <w:r>
        <w:t xml:space="preserve">land, in this ⟨year of the⟩ Śaka ⟨king⟩ 1323.</w:t>
      </w:r>
    </w:p>
    <w:p>
      <w:pPr>
        <w:pStyle w:val="Heading1"/>
      </w:pPr>
      <w:r>
        <w:t xml:space="preserve">Translation into French by Finot 1915</w:t>
      </w:r>
    </w:p>
    <w:p>
      <w:pPr>
        <w:pStyle w:val="FirstParagraph"/>
      </w:pPr>
      <w:r>
        <w:t xml:space="preserve">Bonheur ! Il y eut un [prince du] Br̥ṣuvaṅsa, savoir, S. M. Śrī Jaya Siṅhavarmmadeva Śrī Harijâtti Vīrasiṅha Campapūra, qui régna douze ans complets. [Alors] son âme partit pour le séjour de Śiva, dans la terre de Yāṅ … S. M. Śrī Vr̥ṣu Viṣṇujātti Vīra Bhadravarmmadeva, son fils, régna. Comme ses père, mère et cousins s’étaient établis dans cette contrée qu’ils avaient reçue en concession à l’état inculte, il prit les champs que son royal père avait fait défricher à Luvūk (?), [consistant en] 500 vijaiḥ de bois avec le</w:t>
      </w:r>
      <w:r>
        <w:t xml:space="preserve"> </w:t>
      </w:r>
      <w:r>
        <w:rPr>
          <w:i/>
          <w:iCs/>
        </w:rPr>
        <w:t xml:space="preserve">tandoṅ</w:t>
      </w:r>
      <w:r>
        <w:t xml:space="preserve"> </w:t>
      </w:r>
      <w:r>
        <w:t xml:space="preserve">(?) public ; un</w:t>
      </w:r>
      <w:r>
        <w:t xml:space="preserve"> </w:t>
      </w:r>
      <w:r>
        <w:rPr>
          <w:i/>
          <w:iCs/>
        </w:rPr>
        <w:t xml:space="preserve">śvān</w:t>
      </w:r>
      <w:r>
        <w:t xml:space="preserve"> </w:t>
      </w:r>
      <w:r>
        <w:t xml:space="preserve">d’argent, d’un</w:t>
      </w:r>
      <w:r>
        <w:t xml:space="preserve"> </w:t>
      </w:r>
      <w:r>
        <w:rPr>
          <w:i/>
          <w:iCs/>
        </w:rPr>
        <w:t xml:space="preserve">vauḥ</w:t>
      </w:r>
      <w:r>
        <w:t xml:space="preserve"> </w:t>
      </w:r>
      <w:r>
        <w:t xml:space="preserve">15</w:t>
      </w:r>
      <w:r>
        <w:t xml:space="preserve"> </w:t>
      </w:r>
      <w:r>
        <w:rPr>
          <w:i/>
          <w:iCs/>
        </w:rPr>
        <w:t xml:space="preserve">thil</w:t>
      </w:r>
      <w:r>
        <w:t xml:space="preserve"> </w:t>
      </w:r>
      <w:r>
        <w:t xml:space="preserve">; une aiguière d’argent, de 5</w:t>
      </w:r>
      <w:r>
        <w:t xml:space="preserve"> </w:t>
      </w:r>
      <w:r>
        <w:rPr>
          <w:i/>
          <w:iCs/>
        </w:rPr>
        <w:t xml:space="preserve">thil</w:t>
      </w:r>
      <w:r>
        <w:t xml:space="preserve"> </w:t>
      </w:r>
      <w:r>
        <w:t xml:space="preserve">; un flacon d’argent d’un</w:t>
      </w:r>
      <w:r>
        <w:t xml:space="preserve"> </w:t>
      </w:r>
      <w:r>
        <w:rPr>
          <w:i/>
          <w:iCs/>
        </w:rPr>
        <w:t xml:space="preserve">thil</w:t>
      </w:r>
      <w:r>
        <w:t xml:space="preserve"> </w:t>
      </w:r>
      <w:r>
        <w:t xml:space="preserve">; une boîte d’argent… d’un</w:t>
      </w:r>
      <w:r>
        <w:t xml:space="preserve"> </w:t>
      </w:r>
      <w:r>
        <w:rPr>
          <w:i/>
          <w:iCs/>
        </w:rPr>
        <w:t xml:space="preserve">thil</w:t>
      </w:r>
      <w:r>
        <w:t xml:space="preserve"> </w:t>
      </w:r>
      <w:r>
        <w:t xml:space="preserve">; un éléphant, deux esclaves : tout cela [comme] offrande pour être distribuée… śaśāṇṇa (?) de cette terre. En śaka 1323.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with translation into French by Louis Finot (1915); re-edited by Arlo Griffiths based on direct inspection of the stone, as well as estampages and orthophotos from a photogrammetric model.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[LF]</w:t>
      </w:r>
      <w:r>
        <w:t xml:space="preserve"> </w:t>
      </w:r>
      <w:r>
        <w:t xml:space="preserve">Finot, Louis. 1915. “Notes d’épigraphie, XIV : Les inscriptions du musée de Hanoi.” BEFEO 15 (2), pp. 1–38. DOI:</w:t>
      </w:r>
      <w:r>
        <w:t xml:space="preserve"> </w:t>
      </w:r>
      <w:hyperlink r:id="rId9">
        <w:r>
          <w:rPr>
            <w:rStyle w:val="Hyperlink"/>
          </w:rPr>
          <w:t xml:space="preserve">10.3406/befeo.1915.5229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12–14, item B 2. 23.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Majumdar, Ramesh Chandra. 1927.</w:t>
      </w:r>
      <w:r>
        <w:t xml:space="preserve"> </w:t>
      </w:r>
      <w:r>
        <w:rPr>
          <w:i/>
          <w:iCs/>
        </w:rPr>
        <w:t xml:space="preserve">Ancient Indian colonies in the Far East, Vol. I: Champa</w:t>
      </w:r>
      <w:r>
        <w:t xml:space="preserve">. Punjab Oriental (Sanskrit) Series 16. Lahore: The Punjab Sanskrit Book Depot.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Book III, pages 222–223, item 117.</w:t>
      </w:r>
    </w:p>
    <w:p>
      <w:pPr>
        <w:pStyle w:val="BodyText"/>
      </w:pPr>
      <w:r>
        <w:t xml:space="preserve">Golzio, Karl-Heinz. 2004.</w:t>
      </w:r>
      <w:r>
        <w:t xml:space="preserve"> </w:t>
      </w:r>
      <w:r>
        <w:rPr>
          <w:i/>
          <w:iCs/>
        </w:rPr>
        <w:t xml:space="preserve">Inscriptions of Campā: Based on the editions and translations of Abel Bergaigne, Étienne Aymonier, Louis Finot, Édouard Huber and other French scholars and of the work of R. C. Majumdar; newly presented, with minor corrections of texts and translations, together with calculations of given dates</w:t>
      </w:r>
      <w:r>
        <w:t xml:space="preserve">. Aachen: Shaker Verlag. Page 198.</w:t>
      </w:r>
    </w:p>
    <w:p>
      <w:pPr>
        <w:pStyle w:val="BodyText"/>
      </w:pPr>
      <w:r>
        <w:t xml:space="preserve">Schweyer, Anne-Valérie. 2008. “L’époque dite décadente au Campā : Vers une réhabilitation des 14e-15e siècles.” In:</w:t>
      </w:r>
      <w:r>
        <w:t xml:space="preserve"> </w:t>
      </w:r>
      <w:r>
        <w:rPr>
          <w:i/>
          <w:iCs/>
        </w:rPr>
        <w:t xml:space="preserve">From Homo Erectus to the living traditions: Choice of papers from the 11th international conference of the European Association of Southeast Asian Archaeologists, Bougon, 25th-29th September 2006</w:t>
      </w:r>
      <w:r>
        <w:t xml:space="preserve">. Edited by Jean-Pierre Pautreau, Anne-Sophie Coupey, Valéry Zeitoun &amp; Emma Rambault. No place, pp. 221–230. Pages 225–226.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archive.org/details/in.ernet.dli.2015.533856" TargetMode="External" /><Relationship Type="http://schemas.openxmlformats.org/officeDocument/2006/relationships/hyperlink" Id="rId9" Target="https://doi.org/10.3406/befeo.1915.5229" TargetMode="External" /><Relationship Type="http://schemas.openxmlformats.org/officeDocument/2006/relationships/hyperlink" Id="rId10" Target="https://www.persee.fr/doc/befeo_0336-1519_1915_num_15_1_52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archive.org/details/in.ernet.dli.2015.533856" TargetMode="External" /><Relationship Type="http://schemas.openxmlformats.org/officeDocument/2006/relationships/hyperlink" Id="rId9" Target="https://doi.org/10.3406/befeo.1915.5229" TargetMode="External" /><Relationship Type="http://schemas.openxmlformats.org/officeDocument/2006/relationships/hyperlink" Id="rId10" Target="https://www.persee.fr/doc/befeo_0336-1519_1915_num_15_1_522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Bình Định royal gate doorjamb (C. 47), 1323 Śaka</dc:title>
  <dc:creator>Arlo Griffiths</dc:creator>
  <cp:keywords/>
  <dcterms:created xsi:type="dcterms:W3CDTF">2026-10-26T19:56:25Z</dcterms:created>
  <dcterms:modified xsi:type="dcterms:W3CDTF">2026-10-26T19:56:25Z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