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Baigram Charter of the Time of Kumāragupta I</w:t>
      </w:r>
    </w:p>
    <w:p>
      <w:pPr>
        <w:pStyle w:val="Author"/>
      </w:pPr>
      <w:r>
        <w:t xml:space="preserve">Dániel Balogh and Arlo Griffiths</w:t>
      </w:r>
    </w:p>
    <w:p>
      <w:pPr>
        <w:pStyle w:val="FirstParagraph"/>
      </w:pPr>
      <w:r>
        <w:t xml:space="preserve">Authors of digital edition: Dániel Balogh, Arlo Griffiths</w:t>
      </w:r>
    </w:p>
    <w:p>
      <w:pPr>
        <w:pStyle w:val="BodyText"/>
      </w:pPr>
      <w:r>
        <w:t xml:space="preserve">Contributors: Dániel Balogh, Amandine Wattelier-Bricout</w:t>
      </w:r>
    </w:p>
    <w:p>
      <w:pPr>
        <w:pStyle w:val="BodyText"/>
      </w:pPr>
      <w:r>
        <w:t xml:space="preserve">Identifier: DHARMA_INSBengalCharters00049</w:t>
      </w:r>
    </w:p>
    <w:p>
      <w:pPr>
        <w:pStyle w:val="BodyText"/>
      </w:pPr>
      <w:r>
        <w:t xml:space="preserve">Repository: Bengal Charters (tfb-bengalcharters-epigraphy)</w:t>
      </w:r>
    </w:p>
    <w:p>
      <w:pPr>
        <w:pStyle w:val="BodyText"/>
      </w:pPr>
      <w:r>
        <w:t xml:space="preserve">File path: texts/DHARMA_INSBengalCharters00049.xml</w:t>
      </w:r>
    </w:p>
    <w:p>
      <w:pPr>
        <w:pStyle w:val="BodyText"/>
      </w:pPr>
      <w:r>
        <w:t xml:space="preserve">Language: Sanskrit [Northern Brāhmī (unspecified)]</w:t>
      </w:r>
    </w:p>
    <w:p>
      <w:pPr>
        <w:pStyle w:val="BodyText"/>
      </w:pPr>
      <w:r>
        <w:t xml:space="preserve">Commit: 2026-10-05 03:07 (d7f3002), last modified 2026-09-18 18:05 (2466ee4)</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r>
        <w:rPr>
          <w:rStyle w:val="ColorGray"/>
        </w:rPr>
        <w:t xml:space="preserve"> </w:t>
      </w:r>
      <w:r>
        <w:rPr>
          <w:rStyle w:val="ColorGray"/>
        </w:rPr>
        <w:t xml:space="preserve">⟨1⟩</w:t>
      </w:r>
      <w:r>
        <w:rPr>
          <w:rStyle w:val="ColorGray"/>
        </w:rPr>
        <w:t xml:space="preserve"> </w:t>
      </w:r>
      <w:r>
        <w:t xml:space="preserve">svasti⟨.⟩ pañcanagaryyā bhaṭṭāraka-pādānuddhyātaḥ _ kumārāmātya-kulavr̥ddhir etad-viṣayādhikaraṇañ ca _</w:t>
      </w:r>
      <w:r>
        <w:rPr>
          <w:rStyle w:val="ColorGray"/>
        </w:rPr>
        <w:t xml:space="preserve"> </w:t>
      </w:r>
      <w:r>
        <w:rPr>
          <w:rStyle w:val="ColorGray"/>
        </w:rPr>
        <w:t xml:space="preserve">⟨2⟩</w:t>
      </w:r>
      <w:r>
        <w:rPr>
          <w:rStyle w:val="ColorGray"/>
        </w:rPr>
        <w:t xml:space="preserve"> </w:t>
      </w:r>
      <w:r>
        <w:t xml:space="preserve">vāyigrāmika-trivr̥t</w:t>
      </w:r>
      <w:r>
        <w:rPr>
          <w:rStyle w:val="ColorRed"/>
        </w:rPr>
        <w:t xml:space="preserve">¿a?</w:t>
      </w:r>
      <w:r>
        <w:rPr>
          <w:rStyle w:val="ColorGreen"/>
        </w:rPr>
        <w:t xml:space="preserve">⟨ā⟩</w:t>
      </w:r>
      <w:r>
        <w:t xml:space="preserve">-śrīgohālyoḥ _ brāhmaṇottarān samvyavahāri-pramukhān grāma-kuṭumbinaḥ _ kuśalam anu</w:t>
      </w:r>
      <w:r>
        <w:rPr>
          <w:rStyle w:val="ColorGray"/>
        </w:rPr>
        <w:t xml:space="preserve">⟨3⟩</w:t>
      </w:r>
      <w:r>
        <w:t xml:space="preserve">varṇya bodhayanti⟨.⟩ _</w:t>
      </w:r>
    </w:p>
    <w:p>
      <w:pPr>
        <w:pStyle w:val="BodyText"/>
      </w:pPr>
      <w:r>
        <w:rPr>
          <w:rStyle w:val="ColorRed"/>
        </w:rPr>
        <w:t xml:space="preserve">¿vijñāpayator atraiva?</w:t>
      </w:r>
      <w:r>
        <w:rPr>
          <w:rStyle w:val="ColorGreen"/>
        </w:rPr>
        <w:t xml:space="preserve">⟨vijñāpayato ’traiva⟩</w:t>
      </w:r>
      <w:r>
        <w:t xml:space="preserve">-vāstavya-kuṭumbi-bhoyila-bhāskarāv⟨.⟩ āvayoḥ _ pitrā śivanandi</w:t>
      </w:r>
      <w:r>
        <w:rPr>
          <w:rStyle w:val="ColorGray"/>
        </w:rPr>
        <w:t xml:space="preserve">⟨4⟩</w:t>
      </w:r>
      <w:r>
        <w:t xml:space="preserve">nā kāritak</w:t>
      </w:r>
      <w:r>
        <w:rPr>
          <w:rStyle w:val="ColorRed"/>
        </w:rPr>
        <w:t xml:space="preserve">¿a?</w:t>
      </w:r>
      <w:r>
        <w:rPr>
          <w:rStyle w:val="ColorGreen"/>
        </w:rPr>
        <w:t xml:space="preserve">⟨o⟩</w:t>
      </w:r>
      <w:r>
        <w:t xml:space="preserve"> </w:t>
      </w:r>
      <w:r>
        <w:t xml:space="preserve">bhagavato govindasvāminaḥ deva-kulas tad-asāv alpa-vr̥ttikaḥ⟨.⟩ Iha viṣaye samudaya-</w:t>
      </w:r>
      <w:r>
        <w:rPr>
          <w:rStyle w:val="ColorGray"/>
        </w:rPr>
        <w:t xml:space="preserve"> </w:t>
      </w:r>
      <w:r>
        <w:rPr>
          <w:rStyle w:val="ColorGray"/>
        </w:rPr>
        <w:t xml:space="preserve">⟨5⟩</w:t>
      </w:r>
      <w:r>
        <w:rPr>
          <w:rStyle w:val="ColorGray"/>
        </w:rPr>
        <w:t xml:space="preserve"> </w:t>
      </w:r>
      <w:r>
        <w:t xml:space="preserve">bāhyādy-astamva-khila-kṣ</w:t>
      </w:r>
      <w:r>
        <w:rPr>
          <w:rStyle w:val="ColorRed"/>
        </w:rPr>
        <w:t xml:space="preserve">¿a?</w:t>
      </w:r>
      <w:r>
        <w:rPr>
          <w:rStyle w:val="ColorGreen"/>
        </w:rPr>
        <w:t xml:space="preserve">⟨e⟩</w:t>
      </w:r>
      <w:r>
        <w:t xml:space="preserve">ttr</w:t>
      </w:r>
      <w:r>
        <w:rPr>
          <w:rStyle w:val="ColorRed"/>
        </w:rPr>
        <w:t xml:space="preserve">¿a?</w:t>
      </w:r>
      <w:r>
        <w:rPr>
          <w:rStyle w:val="ColorGreen"/>
        </w:rPr>
        <w:t xml:space="preserve">⟨ā⟩</w:t>
      </w:r>
      <w:r>
        <w:t xml:space="preserve">ṇām akiñcit-pratikarāṇāṁ śaśvad-ācandrārkka-tāraka-bhojyānā</w:t>
      </w:r>
      <w:r>
        <w:rPr>
          <w:rStyle w:val="ColorRed"/>
        </w:rPr>
        <w:t xml:space="preserve">¿ṁm?</w:t>
      </w:r>
      <w:r>
        <w:t xml:space="preserve"> </w:t>
      </w:r>
      <w:r>
        <w:t xml:space="preserve">akṣaya-nīvyā</w:t>
      </w:r>
      <w:r>
        <w:rPr>
          <w:rStyle w:val="ColorGray"/>
        </w:rPr>
        <w:t xml:space="preserve"> </w:t>
      </w:r>
      <w:r>
        <w:rPr>
          <w:rStyle w:val="ColorGray"/>
        </w:rPr>
        <w:t xml:space="preserve">⟨6⟩</w:t>
      </w:r>
      <w:r>
        <w:rPr>
          <w:rStyle w:val="ColorGray"/>
        </w:rPr>
        <w:t xml:space="preserve"> </w:t>
      </w:r>
      <w:r>
        <w:t xml:space="preserve">dvi-dīnārikkya-kulya-vāpa-vikkrayo ’nuvr̥ttas⟨.⟩ tad arhathāvayos sakāśāt ṣ</w:t>
      </w:r>
      <w:r>
        <w:rPr>
          <w:rStyle w:val="ColorRed"/>
        </w:rPr>
        <w:t xml:space="preserve">¿ī?</w:t>
      </w:r>
      <w:r>
        <w:rPr>
          <w:rStyle w:val="ColorGreen"/>
        </w:rPr>
        <w:t xml:space="preserve">⟨a⟩</w:t>
      </w:r>
      <w:r>
        <w:t xml:space="preserve">ḍ dīnārān aṣṭa ca rūpakān āyī</w:t>
      </w:r>
      <w:r>
        <w:rPr>
          <w:rStyle w:val="ColorGray"/>
        </w:rPr>
        <w:t xml:space="preserve">⟨7⟩</w:t>
      </w:r>
      <w:r>
        <w:t xml:space="preserve">kr̥tya bhagavato govindasvāmino deva-kule khaṇḍa-phuṭṭa-pratisaṁsk</w:t>
      </w:r>
      <w:r>
        <w:rPr>
          <w:rStyle w:val="ColorRed"/>
        </w:rPr>
        <w:t xml:space="preserve">¿a?</w:t>
      </w:r>
      <w:r>
        <w:rPr>
          <w:rStyle w:val="ColorGreen"/>
        </w:rPr>
        <w:t xml:space="preserve">⟨ā⟩</w:t>
      </w:r>
      <w:r>
        <w:t xml:space="preserve">ra-karaṇāya ⊔ gandha-dhūpa-dīpa- _</w:t>
      </w:r>
      <w:r>
        <w:rPr>
          <w:rStyle w:val="ColorGray"/>
        </w:rPr>
        <w:t xml:space="preserve"> </w:t>
      </w:r>
      <w:r>
        <w:rPr>
          <w:rStyle w:val="ColorGray"/>
        </w:rPr>
        <w:t xml:space="preserve">⟨8⟩</w:t>
      </w:r>
      <w:r>
        <w:rPr>
          <w:rStyle w:val="ColorGray"/>
        </w:rPr>
        <w:t xml:space="preserve"> </w:t>
      </w:r>
      <w:r>
        <w:t xml:space="preserve">sumanasā⟨ṁ⟩ pravarttanāya ca trivr̥tāyām bhogilasya khila-kṣettra-kulya-vāpa-trayaṁ ⊔ śrīgohālyā⟨ṁ⟩ Api</w:t>
      </w:r>
      <w:r>
        <w:rPr>
          <w:rStyle w:val="ColorGray"/>
        </w:rPr>
        <w:t xml:space="preserve"> </w:t>
      </w:r>
      <w:r>
        <w:rPr>
          <w:rStyle w:val="ColorGray"/>
        </w:rPr>
        <w:t xml:space="preserve">⟨9⟩</w:t>
      </w:r>
      <w:r>
        <w:rPr>
          <w:rStyle w:val="ColorGray"/>
        </w:rPr>
        <w:t xml:space="preserve"> </w:t>
      </w:r>
      <w:r>
        <w:t xml:space="preserve">tala-vāṭakārtha⟨ṁ⟩ sthala-vāstuno droṇa-vāpa</w:t>
      </w:r>
      <w:r>
        <w:rPr>
          <w:rStyle w:val="ColorRed"/>
        </w:rPr>
        <w:t xml:space="preserve">¿p?</w:t>
      </w:r>
      <w:r>
        <w:rPr>
          <w:rStyle w:val="ColorGreen"/>
        </w:rPr>
        <w:t xml:space="preserve">⟨m⟩</w:t>
      </w:r>
      <w:r>
        <w:t xml:space="preserve"> </w:t>
      </w:r>
      <w:r>
        <w:t xml:space="preserve">ekaṁ _ bhāskarasyāpi sthala-vāstuno droṇa-vāpañ ca dātu</w:t>
      </w:r>
      <w:r>
        <w:rPr>
          <w:rStyle w:val="ColorGray"/>
        </w:rPr>
        <w:t xml:space="preserve">⟨10⟩</w:t>
      </w:r>
      <w:r>
        <w:t xml:space="preserve">m iti⟨.⟩_</w:t>
      </w:r>
    </w:p>
    <w:p>
      <w:pPr>
        <w:pStyle w:val="BodyText"/>
      </w:pPr>
      <w:r>
        <w:t xml:space="preserve">yato yuṣmān bodhayāma⟨ḥ⟩⟨.⟩ _ pustapāla-durgg(ā) dattārkkadāsayor avadhāraṇayā Avadhr̥ta _</w:t>
      </w:r>
      <w:r>
        <w:rPr>
          <w:rStyle w:val="ColorGray"/>
        </w:rPr>
        <w:t xml:space="preserve">⟨11⟩</w:t>
      </w:r>
      <w:r>
        <w:t xml:space="preserve">m astīha-viṣaye _ samudaya-bāhyādy-astamba-khila-kṣettrāṇā⟨ṁ⟩ śaśvad-ācandrārkka-tāraka-bhojyānāṁ dvi-dī</w:t>
      </w:r>
      <w:r>
        <w:rPr>
          <w:rStyle w:val="ColorGray"/>
        </w:rPr>
        <w:t xml:space="preserve">⟨12⟩</w:t>
      </w:r>
      <w:r>
        <w:t xml:space="preserve">nārikya-kulya-vāpa-vikkrayo ’nuvr̥ttaḥ⟨.⟩ Evaṁ-vidhāpratikara-khila-kṣettra-vikkraye ca na kaścid rājārttha-</w:t>
      </w:r>
      <w:r>
        <w:rPr>
          <w:rStyle w:val="ColorGray"/>
        </w:rPr>
        <w:t xml:space="preserve"> </w:t>
      </w:r>
      <w:r>
        <w:rPr>
          <w:rStyle w:val="ColorGray"/>
        </w:rPr>
        <w:t xml:space="preserve">⟨13⟩</w:t>
      </w:r>
      <w:r>
        <w:rPr>
          <w:rStyle w:val="ColorGray"/>
        </w:rPr>
        <w:t xml:space="preserve"> </w:t>
      </w:r>
      <w:r>
        <w:t xml:space="preserve">virodha Upacaya Eva _ bhaṭṭāraka-pādānāṁ dharmma-phala-ṣaḍ-bhāgāvāptiś ca ⟨.⟩_ tad dīyatām iti Etayoḥ</w:t>
      </w:r>
      <w:r>
        <w:rPr>
          <w:rStyle w:val="ColorGray"/>
        </w:rPr>
        <w:t xml:space="preserve"> </w:t>
      </w:r>
      <w:r>
        <w:rPr>
          <w:rStyle w:val="ColorGray"/>
        </w:rPr>
        <w:t xml:space="preserve">⟨14⟩</w:t>
      </w:r>
      <w:r>
        <w:rPr>
          <w:rStyle w:val="ColorGray"/>
        </w:rPr>
        <w:t xml:space="preserve"> </w:t>
      </w:r>
      <w:r>
        <w:t xml:space="preserve">bhoyila-bhāskarayos sakā⟨śā⟩t ṣaḍ dīnārān aṣṭa ca rūpakān āyīkr̥tya bhagavato govindasvāmino</w:t>
      </w:r>
      <w:r>
        <w:rPr>
          <w:rStyle w:val="ColorGray"/>
        </w:rPr>
        <w:t xml:space="preserve"> </w:t>
      </w:r>
      <w:r>
        <w:rPr>
          <w:rStyle w:val="ColorGray"/>
        </w:rPr>
        <w:t xml:space="preserve">⟨15⟩</w:t>
      </w:r>
      <w:r>
        <w:rPr>
          <w:rStyle w:val="ColorGray"/>
        </w:rPr>
        <w:t xml:space="preserve"> </w:t>
      </w:r>
      <w:r>
        <w:t xml:space="preserve">deva-kulasyārtthe bhoyilasya trivr̥tāyāṁ _ khila-kṣettra-kulya-vāpa-trayaṁ tala-v</w:t>
      </w:r>
      <w:r>
        <w:rPr>
          <w:rStyle w:val="ColorRed"/>
        </w:rPr>
        <w:t xml:space="preserve">¿a?</w:t>
      </w:r>
      <w:r>
        <w:rPr>
          <w:rStyle w:val="ColorGreen"/>
        </w:rPr>
        <w:t xml:space="preserve">⟨ā⟩</w:t>
      </w:r>
      <w:r>
        <w:t xml:space="preserve">ṭakādy-artthaM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⟨16⟩</w:t>
      </w:r>
      <w:r>
        <w:rPr>
          <w:rStyle w:val="ColorGray"/>
        </w:rPr>
        <w:t xml:space="preserve"> </w:t>
      </w:r>
      <w:r>
        <w:t xml:space="preserve">śrīgohālyā⟨ṁ⟩ sthala-vāstuno droṇa-vāpaṁ _ bhāskarasyāpy atraiva sthal</w:t>
      </w:r>
      <w:r>
        <w:rPr>
          <w:rStyle w:val="ColorRed"/>
        </w:rPr>
        <w:t xml:space="preserve">¿i?</w:t>
      </w:r>
      <w:r>
        <w:rPr>
          <w:rStyle w:val="ColorGreen"/>
        </w:rPr>
        <w:t xml:space="preserve">⟨a⟩</w:t>
      </w:r>
      <w:r>
        <w:t xml:space="preserve">-v</w:t>
      </w:r>
      <w:r>
        <w:rPr>
          <w:rStyle w:val="ColorRed"/>
        </w:rPr>
        <w:t xml:space="preserve">¿a?</w:t>
      </w:r>
      <w:r>
        <w:rPr>
          <w:rStyle w:val="ColorGreen"/>
        </w:rPr>
        <w:t xml:space="preserve">⟨ā⟩</w:t>
      </w:r>
      <w:r>
        <w:t xml:space="preserve">stuno droṇa-vāpa _</w:t>
      </w:r>
      <w:r>
        <w:rPr>
          <w:rStyle w:val="ColorGray"/>
        </w:rPr>
        <w:t xml:space="preserve">⟨17⟩</w:t>
      </w:r>
      <w:r>
        <w:rPr>
          <w:rStyle w:val="ColorRed"/>
        </w:rPr>
        <w:t xml:space="preserve">¿p?</w:t>
      </w:r>
      <w:r>
        <w:rPr>
          <w:rStyle w:val="ColorGreen"/>
        </w:rPr>
        <w:t xml:space="preserve">⟨m⟩</w:t>
      </w:r>
      <w:r>
        <w:t xml:space="preserve">⟨.⟩</w:t>
      </w:r>
    </w:p>
    <w:p>
      <w:pPr>
        <w:pStyle w:val="BodyText"/>
      </w:pPr>
      <w:r>
        <w:t xml:space="preserve">eva⟨ṁ⟩ kulya-vāpa-trayaṁ sthala-droṇa-vāpa-dvayañ ca _ Akṣaya-nīvyās tāmra-paṭṭena dattaM⟨.⟩ ninna</w:t>
      </w:r>
      <w:r>
        <w:rPr>
          <w:rStyle w:val="ColorGray"/>
        </w:rPr>
        <w:t xml:space="preserve"> </w:t>
      </w:r>
      <w:r>
        <w:rPr>
          <w:rStyle w:val="ColorGray"/>
        </w:rPr>
        <w:t xml:space="preserve">⟨18⟩</w:t>
      </w:r>
      <w:r>
        <w:rPr>
          <w:rStyle w:val="ColorGray"/>
        </w:rPr>
        <w:t xml:space="preserve"> </w:t>
      </w:r>
      <w:r>
        <w:t xml:space="preserve">ku 3 sthala-dro 2⟨.⟩</w:t>
      </w:r>
    </w:p>
    <w:p>
      <w:pPr>
        <w:pStyle w:val="BodyText"/>
      </w:pPr>
      <w:r>
        <w:t xml:space="preserve">te yūyaṁ sva-karṣaṇāvirodhi-sthāne darvvīkarmma-hastenāṣṭaka-navaka-nal̥ābhyā</w:t>
      </w:r>
      <w:r>
        <w:rPr>
          <w:rStyle w:val="ColorGray"/>
        </w:rPr>
        <w:t xml:space="preserve">⟨19⟩</w:t>
      </w:r>
      <w:r>
        <w:t xml:space="preserve">m apaviñcchya ⊔ cira-kāla-sthāyi-tuṣāṅgārādinā cihnaiś cāturddiśo niyamya dāsyathākṣaya-</w:t>
      </w:r>
      <w:r>
        <w:rPr>
          <w:rStyle w:val="ColorGray"/>
        </w:rPr>
        <w:t xml:space="preserve"> </w:t>
      </w:r>
      <w:r>
        <w:rPr>
          <w:rStyle w:val="ColorGray"/>
        </w:rPr>
        <w:t xml:space="preserve">⟨20⟩</w:t>
      </w:r>
      <w:r>
        <w:rPr>
          <w:rStyle w:val="ColorGray"/>
        </w:rPr>
        <w:t xml:space="preserve"> </w:t>
      </w:r>
      <w:r>
        <w:t xml:space="preserve">nīvī-dharmme</w:t>
      </w:r>
      <w:r>
        <w:rPr>
          <w:rStyle w:val="ColorRed"/>
        </w:rPr>
        <w:t xml:space="preserve">¿n?</w:t>
      </w:r>
      <w:r>
        <w:rPr>
          <w:rStyle w:val="ColorGreen"/>
        </w:rPr>
        <w:t xml:space="preserve">⟨ṇ⟩</w:t>
      </w:r>
      <w:r>
        <w:t xml:space="preserve">a ca śaśvat-kālam anupālayiṣyatha _ varttamāna-bhaviṣyaiś ca saṁvyavahāryy-ādibhir eta</w:t>
      </w:r>
      <w:r>
        <w:rPr>
          <w:rStyle w:val="ColorGray"/>
        </w:rPr>
        <w:t xml:space="preserve">⟨21⟩</w:t>
      </w:r>
      <w:r>
        <w:t xml:space="preserve">d dharmmāpekṣayānupālayitavyam iti⟨.⟩ _ Uktañ ca bhagava⟨tā⟩ veda-vyāsa-mahātmanā⟨.⟩_</w:t>
      </w:r>
    </w:p>
    <w:p>
      <w:pPr>
        <w:pStyle w:val="BodyText"/>
      </w:pPr>
      <w:r>
        <w:t xml:space="preserve">1.</w:t>
      </w:r>
      <w:r>
        <w:t xml:space="preserve"> </w:t>
      </w:r>
      <w:hyperlink r:id="rId9">
        <w:r>
          <w:rPr>
            <w:rStyle w:val="Hyperlink"/>
          </w:rPr>
          <w:t xml:space="preserve">Anuṣṭubh</w:t>
        </w:r>
      </w:hyperlink>
    </w:p>
    <w:p>
      <w:pPr>
        <w:pStyle w:val="BodyText"/>
      </w:pPr>
      <w:r>
        <w:t xml:space="preserve">sva-dattāṁ para-dattāṁ</w:t>
      </w:r>
      <w:r>
        <w:rPr>
          <w:rStyle w:val="ColorGray"/>
        </w:rPr>
        <w:t xml:space="preserve"> </w:t>
      </w:r>
      <w:r>
        <w:rPr>
          <w:rStyle w:val="ColorGray"/>
        </w:rPr>
        <w:t xml:space="preserve">⟨22⟩</w:t>
      </w:r>
      <w:r>
        <w:rPr>
          <w:rStyle w:val="ColorGray"/>
        </w:rPr>
        <w:t xml:space="preserve"> </w:t>
      </w:r>
      <w:r>
        <w:t xml:space="preserve">v{v}ā</w:t>
      </w:r>
      <w:r>
        <w:br/>
      </w:r>
      <w:r>
        <w:t xml:space="preserve">yo hareta vasundharā(ṁ)(|)</w:t>
      </w:r>
      <w:r>
        <w:br/>
      </w:r>
      <w:r>
        <w:t xml:space="preserve">sa viṣṭhāyāṁ k</w:t>
      </w:r>
      <w:r>
        <w:rPr>
          <w:rStyle w:val="ColorRed"/>
        </w:rPr>
        <w:t xml:space="preserve">¿ri?</w:t>
      </w:r>
      <w:r>
        <w:t xml:space="preserve">mir bhūtvā</w:t>
      </w:r>
      <w:r>
        <w:br/>
      </w:r>
      <w:r>
        <w:t xml:space="preserve">pitr̥bhis saha pacyate_</w:t>
      </w:r>
    </w:p>
    <w:p>
      <w:pPr>
        <w:pStyle w:val="BodyText"/>
      </w:pPr>
      <w:r>
        <w:t xml:space="preserve">2.</w:t>
      </w:r>
      <w:r>
        <w:t xml:space="preserve"> </w:t>
      </w:r>
      <w:hyperlink r:id="rId9">
        <w:r>
          <w:rPr>
            <w:rStyle w:val="Hyperlink"/>
          </w:rPr>
          <w:t xml:space="preserve">Anuṣṭubh</w:t>
        </w:r>
      </w:hyperlink>
    </w:p>
    <w:p>
      <w:pPr>
        <w:pStyle w:val="BodyText"/>
      </w:pPr>
      <w:r>
        <w:t xml:space="preserve">ṣaṣṭiṁ varṣa-saha</w:t>
      </w:r>
      <w:r>
        <w:rPr>
          <w:rStyle w:val="ColorGray"/>
        </w:rPr>
        <w:t xml:space="preserve">⟨23⟩</w:t>
      </w:r>
      <w:r>
        <w:t xml:space="preserve">srāṇi</w:t>
      </w:r>
      <w:r>
        <w:br/>
      </w:r>
      <w:r>
        <w:t xml:space="preserve">svargge</w:t>
      </w:r>
      <w:r>
        <w:t xml:space="preserve"> </w:t>
      </w:r>
      <w:r>
        <w:rPr>
          <w:rStyle w:val="ColorRed"/>
        </w:rPr>
        <w:t xml:space="preserve">¿p?</w:t>
      </w:r>
      <w:r>
        <w:rPr>
          <w:rStyle w:val="ColorGreen"/>
        </w:rPr>
        <w:t xml:space="preserve">⟨m⟩</w:t>
      </w:r>
      <w:r>
        <w:t xml:space="preserve">odati bhūmidaḥ_</w:t>
      </w:r>
      <w:r>
        <w:br/>
      </w:r>
      <w:r>
        <w:t xml:space="preserve">Ākṣeptā cānumantā ca</w:t>
      </w:r>
      <w:r>
        <w:br/>
      </w:r>
      <w:r>
        <w:t xml:space="preserve">tāny eva narake vase(T)</w:t>
      </w:r>
    </w:p>
    <w:p>
      <w:pPr>
        <w:pStyle w:val="BodyText"/>
      </w:pPr>
      <w:r>
        <w:t xml:space="preserve">3.</w:t>
      </w:r>
      <w:r>
        <w:t xml:space="preserve"> </w:t>
      </w:r>
      <w:hyperlink r:id="rId9">
        <w:r>
          <w:rPr>
            <w:rStyle w:val="Hyperlink"/>
          </w:rPr>
          <w:t xml:space="preserve">Anuṣṭubh</w:t>
        </w:r>
      </w:hyperlink>
    </w:p>
    <w:p>
      <w:pPr>
        <w:pStyle w:val="BodyText"/>
      </w:pPr>
      <w:r>
        <w:t xml:space="preserve">pūrvva</w:t>
      </w:r>
      <w:r>
        <w:rPr>
          <w:rStyle w:val="ColorGray"/>
        </w:rPr>
        <w:t xml:space="preserve">⟨24⟩</w:t>
      </w:r>
      <w:r>
        <w:t xml:space="preserve">-dattāṁ dvijātibhyo</w:t>
      </w:r>
      <w:r>
        <w:br/>
      </w:r>
      <w:r>
        <w:t xml:space="preserve">yatnād rakṣa yudhiṣṭhira_</w:t>
      </w:r>
      <w:r>
        <w:br/>
      </w:r>
      <w:r>
        <w:t xml:space="preserve">mahī⟨ṁ⟩ mah</w:t>
      </w:r>
      <w:r>
        <w:rPr>
          <w:rStyle w:val="ColorRed"/>
        </w:rPr>
        <w:t xml:space="preserve">¿i?</w:t>
      </w:r>
      <w:r>
        <w:rPr>
          <w:rStyle w:val="ColorGreen"/>
        </w:rPr>
        <w:t xml:space="preserve">⟨ī⟩</w:t>
      </w:r>
      <w:r>
        <w:t xml:space="preserve">matāṁ śreṣṭha</w:t>
      </w:r>
      <w:r>
        <w:br/>
      </w:r>
      <w:r>
        <w:t xml:space="preserve">dānāc chreyo ’nupāla</w:t>
      </w:r>
      <w:r>
        <w:rPr>
          <w:rStyle w:val="ColorGray"/>
        </w:rPr>
        <w:t xml:space="preserve">⟨25⟩</w:t>
      </w:r>
      <w:r>
        <w:t xml:space="preserve">nam</w:t>
      </w:r>
    </w:p>
    <w:p>
      <w:pPr>
        <w:pStyle w:val="BodyText"/>
      </w:pPr>
      <w:r>
        <w:t xml:space="preserve">iti⟨.⟩</w:t>
      </w:r>
      <w:r>
        <w:t xml:space="preserve"> </w:t>
      </w:r>
      <w:r>
        <w:rPr>
          <w:rStyle w:val="ColorBrown"/>
        </w:rPr>
        <w:t xml:space="preserve">saṁ</w:t>
      </w:r>
      <w:r>
        <w:t xml:space="preserve"> </w:t>
      </w:r>
      <w:r>
        <w:t xml:space="preserve">100 20 8 māgha</w:t>
      </w:r>
      <w:r>
        <w:t xml:space="preserve"> </w:t>
      </w:r>
      <w:r>
        <w:rPr>
          <w:rStyle w:val="ColorBrown"/>
        </w:rPr>
        <w:t xml:space="preserve">di</w:t>
      </w:r>
      <w:r>
        <w:t xml:space="preserve"> </w:t>
      </w:r>
      <w:r>
        <w:t xml:space="preserve">10 9⟨.⟩</w:t>
      </w:r>
    </w:p>
    <w:p>
      <w:pPr>
        <w:pStyle w:val="Heading1"/>
      </w:pPr>
      <w:r>
        <w:t xml:space="preserve">Apparatus</w:t>
      </w:r>
    </w:p>
    <w:p>
      <w:pPr>
        <w:pStyle w:val="FirstParagraph"/>
      </w:pPr>
      <w:r>
        <w:rPr>
          <w:rStyle w:val="ColorGray"/>
        </w:rPr>
        <w:t xml:space="preserve">⟨1⟩</w:t>
      </w:r>
      <w:r>
        <w:t xml:space="preserve"> </w:t>
      </w:r>
      <w:r>
        <w:t xml:space="preserve">-pādānuddhyātaḥ _ ⬦</w:t>
      </w:r>
      <w:r>
        <w:t xml:space="preserve"> </w:t>
      </w:r>
      <w:r>
        <w:rPr>
          <w:rStyle w:val="ColorGreen"/>
          <w:i/>
          <w:iCs/>
        </w:rPr>
        <w:t xml:space="preserve">-pādānuddhyātaḥ</w:t>
      </w:r>
      <w:r>
        <w:t xml:space="preserve"> </w:t>
      </w:r>
      <w:r>
        <w:t xml:space="preserve">DB. —</w:t>
      </w:r>
      <w:r>
        <w:t xml:space="preserve"> </w:t>
      </w:r>
      <w:r>
        <w:rPr>
          <w:rStyle w:val="ColorGray"/>
        </w:rPr>
        <w:t xml:space="preserve">⟨1⟩</w:t>
      </w:r>
      <w:r>
        <w:t xml:space="preserve"> </w:t>
      </w:r>
      <w:r>
        <w:t xml:space="preserve">°karaṇañ ca _ ⬦</w:t>
      </w:r>
      <w:r>
        <w:t xml:space="preserve"> </w:t>
      </w:r>
      <w:r>
        <w:rPr>
          <w:rStyle w:val="ColorGreen"/>
          <w:i/>
          <w:iCs/>
        </w:rPr>
        <w:t xml:space="preserve">°karaṇañ ca</w:t>
      </w:r>
      <w:r>
        <w:t xml:space="preserve"> </w:t>
      </w:r>
      <w:r>
        <w:t xml:space="preserve">DB.</w:t>
      </w:r>
    </w:p>
    <w:p>
      <w:pPr>
        <w:pStyle w:val="BodyText"/>
      </w:pPr>
      <w:r>
        <w:rPr>
          <w:rStyle w:val="ColorGray"/>
        </w:rPr>
        <w:t xml:space="preserve">⟨2⟩</w:t>
      </w:r>
      <w:r>
        <w:t xml:space="preserve"> </w:t>
      </w:r>
      <w:r>
        <w:t xml:space="preserve">-śrīgohālyoḥ _ ⬦</w:t>
      </w:r>
      <w:r>
        <w:t xml:space="preserve"> </w:t>
      </w:r>
      <w:r>
        <w:rPr>
          <w:rStyle w:val="ColorGreen"/>
          <w:i/>
          <w:iCs/>
        </w:rPr>
        <w:t xml:space="preserve">-śrīgohālyoḥ</w:t>
      </w:r>
      <w:r>
        <w:t xml:space="preserve"> </w:t>
      </w:r>
      <w:r>
        <w:t xml:space="preserve">DB. —</w:t>
      </w:r>
      <w:r>
        <w:t xml:space="preserve"> </w:t>
      </w:r>
      <w:r>
        <w:rPr>
          <w:rStyle w:val="ColorGray"/>
        </w:rPr>
        <w:t xml:space="preserve">⟨2⟩</w:t>
      </w:r>
      <w:r>
        <w:t xml:space="preserve"> </w:t>
      </w:r>
      <w:r>
        <w:t xml:space="preserve">-kuṭumbinaḥ _ ⬦</w:t>
      </w:r>
      <w:r>
        <w:t xml:space="preserve"> </w:t>
      </w:r>
      <w:r>
        <w:rPr>
          <w:rStyle w:val="ColorGreen"/>
          <w:i/>
          <w:iCs/>
        </w:rPr>
        <w:t xml:space="preserve">-kuṭumbinaḥ</w:t>
      </w:r>
      <w:r>
        <w:t xml:space="preserve"> </w:t>
      </w:r>
      <w:r>
        <w:t xml:space="preserve">DB.</w:t>
      </w:r>
    </w:p>
    <w:p>
      <w:pPr>
        <w:pStyle w:val="BodyText"/>
      </w:pPr>
      <w:r>
        <w:rPr>
          <w:rStyle w:val="ColorGray"/>
        </w:rPr>
        <w:t xml:space="preserve">⟨3⟩</w:t>
      </w:r>
      <w:r>
        <w:t xml:space="preserve"> </w:t>
      </w:r>
      <w:r>
        <w:t xml:space="preserve">bodhayanti⟨.⟩ _ ⬦</w:t>
      </w:r>
      <w:r>
        <w:t xml:space="preserve"> </w:t>
      </w:r>
      <w:r>
        <w:rPr>
          <w:rStyle w:val="ColorGreen"/>
          <w:i/>
          <w:iCs/>
        </w:rPr>
        <w:t xml:space="preserve">bodhayanti⟨.⟩</w:t>
      </w:r>
      <w:r>
        <w:t xml:space="preserve"> </w:t>
      </w:r>
      <w:r>
        <w:t xml:space="preserve">DB. —</w:t>
      </w:r>
      <w:r>
        <w:t xml:space="preserve"> </w:t>
      </w:r>
      <w:r>
        <w:rPr>
          <w:rStyle w:val="ColorGray"/>
        </w:rPr>
        <w:t xml:space="preserve">⟨3⟩</w:t>
      </w:r>
      <w:r>
        <w:t xml:space="preserve"> </w:t>
      </w:r>
      <w:r>
        <w:t xml:space="preserve">-bhoyila- DB • This name is spelt thus also in lines 14 and 15, but -</w:t>
      </w:r>
      <w:r>
        <w:rPr>
          <w:i/>
          <w:iCs/>
        </w:rPr>
        <w:t xml:space="preserve">bhogila</w:t>
      </w:r>
      <w:r>
        <w:t xml:space="preserve">- in line 8. —</w:t>
      </w:r>
      <w:r>
        <w:t xml:space="preserve"> </w:t>
      </w:r>
      <w:r>
        <w:rPr>
          <w:rStyle w:val="ColorGray"/>
        </w:rPr>
        <w:t xml:space="preserve">⟨3⟩</w:t>
      </w:r>
      <w:r>
        <w:t xml:space="preserve"> </w:t>
      </w:r>
      <w:r>
        <w:t xml:space="preserve">āvayoḥ _ ⬦</w:t>
      </w:r>
      <w:r>
        <w:t xml:space="preserve"> </w:t>
      </w:r>
      <w:r>
        <w:rPr>
          <w:rStyle w:val="ColorGreen"/>
          <w:i/>
          <w:iCs/>
        </w:rPr>
        <w:t xml:space="preserve">āvayoḥ</w:t>
      </w:r>
      <w:r>
        <w:t xml:space="preserve"> </w:t>
      </w:r>
      <w:r>
        <w:t xml:space="preserve">DB.</w:t>
      </w:r>
    </w:p>
    <w:p>
      <w:pPr>
        <w:pStyle w:val="BodyText"/>
      </w:pPr>
      <w:r>
        <w:rPr>
          <w:rStyle w:val="ColorGray"/>
        </w:rPr>
        <w:t xml:space="preserve">⟨4⟩</w:t>
      </w:r>
      <w:r>
        <w:t xml:space="preserve"> </w:t>
      </w:r>
      <w:r>
        <w:t xml:space="preserve">kāritak</w:t>
      </w:r>
      <w:r>
        <w:rPr>
          <w:rStyle w:val="ColorRed"/>
        </w:rPr>
        <w:t xml:space="preserve">¿a?</w:t>
      </w:r>
      <w:r>
        <w:rPr>
          <w:rStyle w:val="ColorGreen"/>
        </w:rPr>
        <w:t xml:space="preserve">⟨o⟩</w:t>
      </w:r>
      <w:r>
        <w:t xml:space="preserve"> </w:t>
      </w:r>
      <w:r>
        <w:t xml:space="preserve">⬦</w:t>
      </w:r>
      <w:r>
        <w:t xml:space="preserve"> </w:t>
      </w:r>
      <w:r>
        <w:rPr>
          <w:rStyle w:val="ColorGreen"/>
          <w:i/>
          <w:iCs/>
        </w:rPr>
        <w:t xml:space="preserve">kāritaka-</w:t>
      </w:r>
      <w:r>
        <w:t xml:space="preserve"> </w:t>
      </w:r>
      <w:r>
        <w:t xml:space="preserve">DB • Note that</w:t>
      </w:r>
      <w:r>
        <w:t xml:space="preserve"> </w:t>
      </w:r>
      <w:r>
        <w:rPr>
          <w:i/>
          <w:iCs/>
        </w:rPr>
        <w:t xml:space="preserve">devakula</w:t>
      </w:r>
      <w:r>
        <w:t xml:space="preserve"> </w:t>
      </w:r>
      <w:r>
        <w:t xml:space="preserve">here rather clearly is taken to be masculine; tad seems to bear adverbial function.</w:t>
      </w:r>
    </w:p>
    <w:p>
      <w:pPr>
        <w:pStyle w:val="BodyText"/>
      </w:pPr>
      <w:r>
        <w:rPr>
          <w:rStyle w:val="ColorGray"/>
        </w:rPr>
        <w:t xml:space="preserve">⟨5⟩</w:t>
      </w:r>
      <w:r>
        <w:t xml:space="preserve"> </w:t>
      </w:r>
      <w:r>
        <w:t xml:space="preserve">astamva-khila-kṣ</w:t>
      </w:r>
      <w:r>
        <w:rPr>
          <w:rStyle w:val="ColorRed"/>
        </w:rPr>
        <w:t xml:space="preserve">¿a?</w:t>
      </w:r>
      <w:r>
        <w:rPr>
          <w:rStyle w:val="ColorGreen"/>
        </w:rPr>
        <w:t xml:space="preserve">⟨e⟩</w:t>
      </w:r>
      <w:r>
        <w:t xml:space="preserve">ttr</w:t>
      </w:r>
      <w:r>
        <w:rPr>
          <w:rStyle w:val="ColorRed"/>
        </w:rPr>
        <w:t xml:space="preserve">¿a?</w:t>
      </w:r>
      <w:r>
        <w:rPr>
          <w:rStyle w:val="ColorGreen"/>
        </w:rPr>
        <w:t xml:space="preserve">⟨ā⟩</w:t>
      </w:r>
      <w:r>
        <w:t xml:space="preserve">ṇām ⬦</w:t>
      </w:r>
      <w:r>
        <w:t xml:space="preserve"> </w:t>
      </w:r>
      <w:r>
        <w:rPr>
          <w:rStyle w:val="ColorGreen"/>
          <w:i/>
          <w:iCs/>
        </w:rPr>
        <w:t xml:space="preserve">astamba-khila-kṣ</w:t>
      </w:r>
      <w:r>
        <w:rPr>
          <w:rStyle w:val="ColorRed"/>
          <w:i/>
          <w:iCs/>
        </w:rPr>
        <w:t xml:space="preserve">¿a?</w:t>
      </w:r>
      <w:r>
        <w:rPr>
          <w:rStyle w:val="ColorGreen"/>
          <w:i/>
          <w:iCs/>
        </w:rPr>
        <w:t xml:space="preserve">⟨e⟩</w:t>
      </w:r>
      <w:r>
        <w:rPr>
          <w:rStyle w:val="ColorGreen"/>
          <w:i/>
          <w:iCs/>
        </w:rPr>
        <w:t xml:space="preserve">ttr</w:t>
      </w:r>
      <w:r>
        <w:rPr>
          <w:rStyle w:val="ColorRed"/>
          <w:i/>
          <w:iCs/>
        </w:rPr>
        <w:t xml:space="preserve">¿a?</w:t>
      </w:r>
      <w:r>
        <w:rPr>
          <w:rStyle w:val="ColorGreen"/>
          <w:i/>
          <w:iCs/>
        </w:rPr>
        <w:t xml:space="preserve">⟨ā⟩</w:t>
      </w:r>
      <w:r>
        <w:rPr>
          <w:rStyle w:val="ColorGreen"/>
          <w:i/>
          <w:iCs/>
        </w:rPr>
        <w:t xml:space="preserve">ṇām</w:t>
      </w:r>
      <w:r>
        <w:t xml:space="preserve"> </w:t>
      </w:r>
      <w:r>
        <w:t xml:space="preserve">DB • Correct -</w:t>
      </w:r>
      <w:r>
        <w:rPr>
          <w:i/>
          <w:iCs/>
        </w:rPr>
        <w:t xml:space="preserve">stambakhilakṣettrāṇām</w:t>
      </w:r>
      <w:r>
        <w:t xml:space="preserve">. Basak 1931–1932 reads thus, but the plate clearly shows -</w:t>
      </w:r>
      <w:r>
        <w:rPr>
          <w:i/>
          <w:iCs/>
        </w:rPr>
        <w:t xml:space="preserve">mva</w:t>
      </w:r>
      <w:r>
        <w:t xml:space="preserve">- and -</w:t>
      </w:r>
      <w:r>
        <w:rPr>
          <w:i/>
          <w:iCs/>
        </w:rPr>
        <w:t xml:space="preserve">ttra</w:t>
      </w:r>
      <w:r>
        <w:t xml:space="preserve">-. —</w:t>
      </w:r>
      <w:r>
        <w:t xml:space="preserve"> </w:t>
      </w:r>
      <w:r>
        <w:rPr>
          <w:rStyle w:val="ColorGray"/>
        </w:rPr>
        <w:t xml:space="preserve">⟨5⟩</w:t>
      </w:r>
      <w:r>
        <w:t xml:space="preserve"> </w:t>
      </w:r>
      <w:r>
        <w:t xml:space="preserve">śaśvad-ācandrārkka- ⬦</w:t>
      </w:r>
      <w:r>
        <w:t xml:space="preserve"> </w:t>
      </w:r>
      <w:r>
        <w:rPr>
          <w:rStyle w:val="ColorGreen"/>
          <w:i/>
          <w:iCs/>
        </w:rPr>
        <w:t xml:space="preserve">śaśvad ācandrārkka-</w:t>
      </w:r>
      <w:r>
        <w:t xml:space="preserve"> </w:t>
      </w:r>
      <w:r>
        <w:t xml:space="preserve">DB.</w:t>
      </w:r>
    </w:p>
    <w:p>
      <w:pPr>
        <w:pStyle w:val="BodyText"/>
      </w:pPr>
      <w:r>
        <w:rPr>
          <w:rStyle w:val="ColorGray"/>
        </w:rPr>
        <w:t xml:space="preserve">⟨6⟩</w:t>
      </w:r>
      <w:r>
        <w:t xml:space="preserve"> </w:t>
      </w:r>
      <w:r>
        <w:t xml:space="preserve">ṣ</w:t>
      </w:r>
      <w:r>
        <w:rPr>
          <w:rStyle w:val="ColorRed"/>
        </w:rPr>
        <w:t xml:space="preserve">¿ī?</w:t>
      </w:r>
      <w:r>
        <w:rPr>
          <w:rStyle w:val="ColorGreen"/>
        </w:rPr>
        <w:t xml:space="preserve">⟨a⟩</w:t>
      </w:r>
      <w:r>
        <w:t xml:space="preserve">ḍ DB • Basak 1931–1932 reads</w:t>
      </w:r>
      <w:r>
        <w:t xml:space="preserve"> </w:t>
      </w:r>
      <w:r>
        <w:rPr>
          <w:i/>
          <w:iCs/>
        </w:rPr>
        <w:t xml:space="preserve">ṣaḍ</w:t>
      </w:r>
      <w:r>
        <w:t xml:space="preserve"> </w:t>
      </w:r>
      <w:r>
        <w:t xml:space="preserve">but this is clearly not what the plate shows; cf. line 14, where</w:t>
      </w:r>
      <w:r>
        <w:t xml:space="preserve"> </w:t>
      </w:r>
      <w:r>
        <w:rPr>
          <w:i/>
          <w:iCs/>
        </w:rPr>
        <w:t xml:space="preserve">ṣaḍ</w:t>
      </w:r>
      <w:r>
        <w:t xml:space="preserve"> </w:t>
      </w:r>
      <w:r>
        <w:t xml:space="preserve">is clear.</w:t>
      </w:r>
    </w:p>
    <w:p>
      <w:pPr>
        <w:pStyle w:val="BodyText"/>
      </w:pPr>
      <w:r>
        <w:rPr>
          <w:rStyle w:val="ColorGray"/>
        </w:rPr>
        <w:t xml:space="preserve">⟨7⟩</w:t>
      </w:r>
      <w:r>
        <w:t xml:space="preserve"> </w:t>
      </w:r>
      <w:r>
        <w:t xml:space="preserve">-kr̥tya DB ⬦</w:t>
      </w:r>
      <w:r>
        <w:t xml:space="preserve"> </w:t>
      </w:r>
      <w:r>
        <w:rPr>
          <w:rStyle w:val="ColorGreen"/>
          <w:i/>
          <w:iCs/>
        </w:rPr>
        <w:t xml:space="preserve">-[kr̥]tya</w:t>
      </w:r>
      <w:r>
        <w:t xml:space="preserve"> </w:t>
      </w:r>
      <w:r>
        <w:t xml:space="preserve">RB • On this shape of</w:t>
      </w:r>
      <w:r>
        <w:t xml:space="preserve"> </w:t>
      </w:r>
      <w:r>
        <w:rPr>
          <w:i/>
          <w:iCs/>
        </w:rPr>
        <w:t xml:space="preserve">kr̥</w:t>
      </w:r>
      <w:r>
        <w:t xml:space="preserve">, recurring also below in line 14, cf. the</w:t>
      </w:r>
      <w:r>
        <w:t xml:space="preserve"> </w:t>
      </w:r>
      <w:hyperlink r:id="rId10">
        <w:r>
          <w:rPr>
            <w:rStyle w:val="Hyperlink"/>
          </w:rPr>
          <w:t xml:space="preserve">Nandapur plate</w:t>
        </w:r>
      </w:hyperlink>
      <w:r>
        <w:t xml:space="preserve">, line 15. —</w:t>
      </w:r>
      <w:r>
        <w:t xml:space="preserve"> </w:t>
      </w:r>
      <w:r>
        <w:rPr>
          <w:rStyle w:val="ColorGray"/>
        </w:rPr>
        <w:t xml:space="preserve">⟨7⟩</w:t>
      </w:r>
      <w:r>
        <w:t xml:space="preserve"> </w:t>
      </w:r>
      <w:r>
        <w:t xml:space="preserve">-phuṭṭa- DB • Basak 1931–1932 suggests to emend</w:t>
      </w:r>
      <w:r>
        <w:t xml:space="preserve"> </w:t>
      </w:r>
      <w:r>
        <w:rPr>
          <w:i/>
          <w:iCs/>
        </w:rPr>
        <w:t xml:space="preserve">sphuṭita</w:t>
      </w:r>
      <w:r>
        <w:t xml:space="preserve">. But</w:t>
      </w:r>
      <w:r>
        <w:t xml:space="preserve"> </w:t>
      </w:r>
      <w:r>
        <w:rPr>
          <w:i/>
          <w:iCs/>
        </w:rPr>
        <w:t xml:space="preserve">phuṭṭa</w:t>
      </w:r>
      <w:r>
        <w:t xml:space="preserve">, being ‘evidently a Prakrit form’ (Basak 1931–1932), must be retained. See</w:t>
      </w:r>
      <w:r>
        <w:t xml:space="preserve"> </w:t>
      </w:r>
      <w:hyperlink r:id="rId11">
        <w:r>
          <w:rPr>
            <w:rStyle w:val="Hyperlink"/>
          </w:rPr>
          <w:t xml:space="preserve">von Hinüber 2013</w:t>
        </w:r>
      </w:hyperlink>
      <w:r>
        <w:t xml:space="preserve"> </w:t>
      </w:r>
      <w:r>
        <w:t xml:space="preserve">on this case. —</w:t>
      </w:r>
      <w:r>
        <w:t xml:space="preserve"> </w:t>
      </w:r>
      <w:r>
        <w:rPr>
          <w:rStyle w:val="ColorGray"/>
        </w:rPr>
        <w:t xml:space="preserve">⟨7⟩</w:t>
      </w:r>
      <w:r>
        <w:t xml:space="preserve"> </w:t>
      </w:r>
      <w:r>
        <w:t xml:space="preserve">°saṁsk</w:t>
      </w:r>
      <w:r>
        <w:rPr>
          <w:rStyle w:val="ColorRed"/>
        </w:rPr>
        <w:t xml:space="preserve">¿a?</w:t>
      </w:r>
      <w:r>
        <w:rPr>
          <w:rStyle w:val="ColorGreen"/>
        </w:rPr>
        <w:t xml:space="preserve">⟨ā⟩</w:t>
      </w:r>
      <w:r>
        <w:t xml:space="preserve">ra- DB • Already corrected by Basak 1931–1932. —</w:t>
      </w:r>
      <w:r>
        <w:t xml:space="preserve"> </w:t>
      </w:r>
      <w:r>
        <w:rPr>
          <w:rStyle w:val="ColorGray"/>
        </w:rPr>
        <w:t xml:space="preserve">⟨7⟩</w:t>
      </w:r>
      <w:r>
        <w:t xml:space="preserve"> </w:t>
      </w:r>
      <w:r>
        <w:t xml:space="preserve">-dīpa- _ ⬦</w:t>
      </w:r>
      <w:r>
        <w:t xml:space="preserve"> </w:t>
      </w:r>
      <w:r>
        <w:rPr>
          <w:rStyle w:val="ColorGreen"/>
          <w:i/>
          <w:iCs/>
        </w:rPr>
        <w:t xml:space="preserve">-dīpa-</w:t>
      </w:r>
      <w:r>
        <w:t xml:space="preserve"> </w:t>
      </w:r>
      <w:r>
        <w:t xml:space="preserve">DB • This space left blank at the end of the line shows the scribe respects the segmentation of word in the compound.</w:t>
      </w:r>
    </w:p>
    <w:p>
      <w:pPr>
        <w:pStyle w:val="BodyText"/>
      </w:pPr>
      <w:r>
        <w:rPr>
          <w:rStyle w:val="ColorGray"/>
        </w:rPr>
        <w:t xml:space="preserve">⟨8⟩</w:t>
      </w:r>
      <w:r>
        <w:t xml:space="preserve"> </w:t>
      </w:r>
      <w:r>
        <w:t xml:space="preserve">sumanasā⟨ṁ⟩ DB ⬦</w:t>
      </w:r>
      <w:r>
        <w:t xml:space="preserve"> </w:t>
      </w:r>
      <w:r>
        <w:rPr>
          <w:rStyle w:val="ColorGreen"/>
          <w:i/>
          <w:iCs/>
        </w:rPr>
        <w:t xml:space="preserve">sumanasā[M]</w:t>
      </w:r>
      <w:r>
        <w:t xml:space="preserve"> </w:t>
      </w:r>
      <w:r>
        <w:t xml:space="preserve">RB. —</w:t>
      </w:r>
      <w:r>
        <w:t xml:space="preserve"> </w:t>
      </w:r>
      <w:r>
        <w:rPr>
          <w:rStyle w:val="ColorGray"/>
        </w:rPr>
        <w:t xml:space="preserve">⟨8⟩</w:t>
      </w:r>
      <w:r>
        <w:t xml:space="preserve"> </w:t>
      </w:r>
      <w:r>
        <w:t xml:space="preserve">śrīgohālyā⟨ṁ⟩ Api ⬦</w:t>
      </w:r>
      <w:r>
        <w:t xml:space="preserve"> </w:t>
      </w:r>
      <w:r>
        <w:rPr>
          <w:rStyle w:val="ColorGreen"/>
          <w:i/>
          <w:iCs/>
        </w:rPr>
        <w:t xml:space="preserve">śrīgohālyāś cāpi</w:t>
      </w:r>
      <w:r>
        <w:t xml:space="preserve"> </w:t>
      </w:r>
      <w:r>
        <w:t xml:space="preserve">RB;</w:t>
      </w:r>
      <w:r>
        <w:t xml:space="preserve"> </w:t>
      </w:r>
      <w:r>
        <w:rPr>
          <w:rStyle w:val="ColorGreen"/>
          <w:i/>
          <w:iCs/>
        </w:rPr>
        <w:t xml:space="preserve">śrīgohālyā</w:t>
      </w:r>
      <w:r>
        <w:rPr>
          <w:rStyle w:val="ColorRed"/>
          <w:i/>
          <w:iCs/>
        </w:rPr>
        <w:t xml:space="preserve">¿(ś)?</w:t>
      </w:r>
      <w:r>
        <w:rPr>
          <w:rStyle w:val="ColorGreen"/>
          <w:i/>
          <w:iCs/>
        </w:rPr>
        <w:t xml:space="preserve">⟨m⟩</w:t>
      </w:r>
      <w:r>
        <w:rPr>
          <w:rStyle w:val="ColorGreen"/>
          <w:i/>
          <w:iCs/>
        </w:rPr>
        <w:t xml:space="preserve"> </w:t>
      </w:r>
      <w:r>
        <w:rPr>
          <w:rStyle w:val="ColorGreen"/>
          <w:i/>
          <w:iCs/>
        </w:rPr>
        <w:t xml:space="preserve">api</w:t>
      </w:r>
      <w:r>
        <w:t xml:space="preserve"> </w:t>
      </w:r>
      <w:r>
        <w:t xml:space="preserve">DB • Correct</w:t>
      </w:r>
      <w:r>
        <w:t xml:space="preserve"> </w:t>
      </w:r>
      <w:r>
        <w:rPr>
          <w:i/>
          <w:iCs/>
        </w:rPr>
        <w:t xml:space="preserve">śrīgohālyām api</w:t>
      </w:r>
      <w:r>
        <w:t xml:space="preserve">. RB reads</w:t>
      </w:r>
      <w:r>
        <w:t xml:space="preserve"> </w:t>
      </w:r>
      <w:r>
        <w:rPr>
          <w:i/>
          <w:iCs/>
        </w:rPr>
        <w:t xml:space="preserve">śrīgohālyāścāpi</w:t>
      </w:r>
      <w:r>
        <w:t xml:space="preserve"> </w:t>
      </w:r>
      <w:r>
        <w:t xml:space="preserve">and corrects this to</w:t>
      </w:r>
      <w:r>
        <w:t xml:space="preserve"> </w:t>
      </w:r>
      <w:r>
        <w:rPr>
          <w:i/>
          <w:iCs/>
        </w:rPr>
        <w:t xml:space="preserve">śrīgohālyāñ cāpi</w:t>
      </w:r>
      <w:r>
        <w:t xml:space="preserve">.</w:t>
      </w:r>
    </w:p>
    <w:p>
      <w:pPr>
        <w:pStyle w:val="BodyText"/>
      </w:pPr>
      <w:r>
        <w:rPr>
          <w:rStyle w:val="ColorGray"/>
        </w:rPr>
        <w:t xml:space="preserve">⟨9⟩</w:t>
      </w:r>
      <w:r>
        <w:t xml:space="preserve"> </w:t>
      </w:r>
      <w:r>
        <w:t xml:space="preserve">-vāṭakārtha⟨ṁ⟩ ⬦</w:t>
      </w:r>
      <w:r>
        <w:t xml:space="preserve"> </w:t>
      </w:r>
      <w:r>
        <w:rPr>
          <w:rStyle w:val="ColorGreen"/>
          <w:i/>
          <w:iCs/>
        </w:rPr>
        <w:t xml:space="preserve">-vāṭakārtha[M]</w:t>
      </w:r>
      <w:r>
        <w:t xml:space="preserve"> </w:t>
      </w:r>
      <w:r>
        <w:t xml:space="preserve">RB;</w:t>
      </w:r>
      <w:r>
        <w:t xml:space="preserve"> </w:t>
      </w:r>
      <w:r>
        <w:rPr>
          <w:rStyle w:val="ColorGreen"/>
          <w:i/>
          <w:iCs/>
        </w:rPr>
        <w:t xml:space="preserve">-vāṭakār(t)tha⟨ṁ⟩</w:t>
      </w:r>
      <w:r>
        <w:t xml:space="preserve"> </w:t>
      </w:r>
      <w:r>
        <w:t xml:space="preserve">DB. —</w:t>
      </w:r>
      <w:r>
        <w:t xml:space="preserve"> </w:t>
      </w:r>
      <w:r>
        <w:rPr>
          <w:rStyle w:val="ColorGray"/>
        </w:rPr>
        <w:t xml:space="preserve">⟨9⟩</w:t>
      </w:r>
      <w:r>
        <w:t xml:space="preserve"> </w:t>
      </w:r>
      <w:r>
        <w:t xml:space="preserve">-vāpa</w:t>
      </w:r>
      <w:r>
        <w:rPr>
          <w:rStyle w:val="ColorRed"/>
        </w:rPr>
        <w:t xml:space="preserve">¿p?</w:t>
      </w:r>
      <w:r>
        <w:rPr>
          <w:rStyle w:val="ColorGreen"/>
        </w:rPr>
        <w:t xml:space="preserve">⟨m⟩</w:t>
      </w:r>
      <w:r>
        <w:t xml:space="preserve"> </w:t>
      </w:r>
      <w:r>
        <w:t xml:space="preserve">⬦</w:t>
      </w:r>
      <w:r>
        <w:t xml:space="preserve"> </w:t>
      </w:r>
      <w:r>
        <w:rPr>
          <w:rStyle w:val="ColorGreen"/>
          <w:i/>
          <w:iCs/>
        </w:rPr>
        <w:t xml:space="preserve">-vāpam</w:t>
      </w:r>
      <w:r>
        <w:t xml:space="preserve"> </w:t>
      </w:r>
      <w:r>
        <w:t xml:space="preserve">RB;</w:t>
      </w:r>
      <w:r>
        <w:t xml:space="preserve"> </w:t>
      </w:r>
      <w:r>
        <w:rPr>
          <w:rStyle w:val="ColorGreen"/>
          <w:i/>
          <w:iCs/>
        </w:rPr>
        <w:t xml:space="preserve">-vāpa(m)</w:t>
      </w:r>
      <w:r>
        <w:t xml:space="preserve"> </w:t>
      </w:r>
      <w:r>
        <w:t xml:space="preserve">DB • Correct -</w:t>
      </w:r>
      <w:r>
        <w:rPr>
          <w:i/>
          <w:iCs/>
        </w:rPr>
        <w:t xml:space="preserve">vāpam</w:t>
      </w:r>
      <w:r>
        <w:t xml:space="preserve">. Basak 1931–1932 reads -</w:t>
      </w:r>
      <w:r>
        <w:rPr>
          <w:i/>
          <w:iCs/>
        </w:rPr>
        <w:t xml:space="preserve">vāpam</w:t>
      </w:r>
      <w:r>
        <w:t xml:space="preserve">, but the required m has not been written here. See shape of</w:t>
      </w:r>
      <w:r>
        <w:t xml:space="preserve"> </w:t>
      </w:r>
      <w:r>
        <w:rPr>
          <w:i/>
          <w:iCs/>
        </w:rPr>
        <w:t xml:space="preserve">pe</w:t>
      </w:r>
      <w:r>
        <w:t xml:space="preserve"> </w:t>
      </w:r>
      <w:r>
        <w:t xml:space="preserve">in line 21; same error</w:t>
      </w:r>
      <w:r>
        <w:t xml:space="preserve"> </w:t>
      </w:r>
      <w:r>
        <w:rPr>
          <w:i/>
          <w:iCs/>
        </w:rPr>
        <w:t xml:space="preserve">p</w:t>
      </w:r>
      <w:r>
        <w:t xml:space="preserve"> </w:t>
      </w:r>
      <w:r>
        <w:t xml:space="preserve">for</w:t>
      </w:r>
      <w:r>
        <w:t xml:space="preserve"> </w:t>
      </w:r>
      <w:r>
        <w:rPr>
          <w:i/>
          <w:iCs/>
        </w:rPr>
        <w:t xml:space="preserve">m</w:t>
      </w:r>
      <w:r>
        <w:t xml:space="preserve"> </w:t>
      </w:r>
      <w:r>
        <w:t xml:space="preserve">in lines 16–17 and 23.</w:t>
      </w:r>
    </w:p>
    <w:p>
      <w:pPr>
        <w:pStyle w:val="BodyText"/>
      </w:pPr>
      <w:r>
        <w:rPr>
          <w:rStyle w:val="ColorGray"/>
        </w:rPr>
        <w:t xml:space="preserve">⟨10⟩</w:t>
      </w:r>
      <w:r>
        <w:t xml:space="preserve"> </w:t>
      </w:r>
      <w:r>
        <w:t xml:space="preserve">bodhayāma⟨ḥ⟩ DB • Already corrected by Basak 1931–1932. —</w:t>
      </w:r>
      <w:r>
        <w:t xml:space="preserve"> </w:t>
      </w:r>
      <w:r>
        <w:rPr>
          <w:rStyle w:val="ColorGray"/>
        </w:rPr>
        <w:t xml:space="preserve">⟨10⟩</w:t>
      </w:r>
      <w:r>
        <w:t xml:space="preserve"> </w:t>
      </w:r>
      <w:r>
        <w:t xml:space="preserve">-durgg(ā)da° ⬦</w:t>
      </w:r>
      <w:r>
        <w:t xml:space="preserve"> </w:t>
      </w:r>
      <w:r>
        <w:rPr>
          <w:rStyle w:val="ColorGreen"/>
          <w:i/>
          <w:iCs/>
        </w:rPr>
        <w:t xml:space="preserve">-durgāda°</w:t>
      </w:r>
      <w:r>
        <w:t xml:space="preserve"> </w:t>
      </w:r>
      <w:r>
        <w:t xml:space="preserve">RB DB • Or is the reading -</w:t>
      </w:r>
      <w:r>
        <w:rPr>
          <w:i/>
          <w:iCs/>
        </w:rPr>
        <w:t xml:space="preserve">durggada</w:t>
      </w:r>
      <w:r>
        <w:t xml:space="preserve">-? —</w:t>
      </w:r>
      <w:r>
        <w:t xml:space="preserve"> </w:t>
      </w:r>
      <w:r>
        <w:rPr>
          <w:rStyle w:val="ColorGray"/>
        </w:rPr>
        <w:t xml:space="preserve">⟨10⟩</w:t>
      </w:r>
      <w:r>
        <w:t xml:space="preserve"> </w:t>
      </w:r>
      <w:r>
        <w:t xml:space="preserve">°ṇayā Avadhr̥ta _ ⬦</w:t>
      </w:r>
      <w:r>
        <w:t xml:space="preserve"> </w:t>
      </w:r>
      <w:r>
        <w:rPr>
          <w:rStyle w:val="ColorGreen"/>
          <w:i/>
          <w:iCs/>
        </w:rPr>
        <w:t xml:space="preserve">°ṇayā Avadhr̥ta°</w:t>
      </w:r>
      <w:r>
        <w:t xml:space="preserve"> </w:t>
      </w:r>
      <w:r>
        <w:t xml:space="preserve">DB;</w:t>
      </w:r>
      <w:r>
        <w:t xml:space="preserve"> </w:t>
      </w:r>
      <w:r>
        <w:rPr>
          <w:rStyle w:val="ColorGreen"/>
          <w:i/>
          <w:iCs/>
        </w:rPr>
        <w:t xml:space="preserve">-ṇayāvadhr̥ta-</w:t>
      </w:r>
      <w:r>
        <w:t xml:space="preserve"> </w:t>
      </w:r>
      <w:r>
        <w:t xml:space="preserve">RB.</w:t>
      </w:r>
    </w:p>
    <w:p>
      <w:pPr>
        <w:pStyle w:val="BodyText"/>
      </w:pPr>
      <w:r>
        <w:rPr>
          <w:rStyle w:val="ColorGray"/>
        </w:rPr>
        <w:t xml:space="preserve">⟨11⟩</w:t>
      </w:r>
      <w:r>
        <w:t xml:space="preserve"> </w:t>
      </w:r>
      <w:r>
        <w:t xml:space="preserve">astīha-viṣaye _ ⬦</w:t>
      </w:r>
      <w:r>
        <w:t xml:space="preserve"> </w:t>
      </w:r>
      <w:r>
        <w:rPr>
          <w:rStyle w:val="ColorGreen"/>
          <w:i/>
          <w:iCs/>
        </w:rPr>
        <w:t xml:space="preserve">astīha viṣay(e)</w:t>
      </w:r>
      <w:r>
        <w:t xml:space="preserve"> </w:t>
      </w:r>
      <w:r>
        <w:t xml:space="preserve">DB. —</w:t>
      </w:r>
      <w:r>
        <w:t xml:space="preserve"> </w:t>
      </w:r>
      <w:r>
        <w:rPr>
          <w:rStyle w:val="ColorGray"/>
        </w:rPr>
        <w:t xml:space="preserve">⟨11⟩</w:t>
      </w:r>
      <w:r>
        <w:t xml:space="preserve"> </w:t>
      </w:r>
      <w:r>
        <w:t xml:space="preserve">-kṣettrāṇā⟨ṁ⟩ DB • Already corrected by Basak 1931–1932. —</w:t>
      </w:r>
      <w:r>
        <w:t xml:space="preserve"> </w:t>
      </w:r>
      <w:r>
        <w:rPr>
          <w:rStyle w:val="ColorGray"/>
        </w:rPr>
        <w:t xml:space="preserve">⟨11⟩</w:t>
      </w:r>
      <w:r>
        <w:t xml:space="preserve"> </w:t>
      </w:r>
      <w:r>
        <w:t xml:space="preserve">-bhojyānāṁ DB • -</w:t>
      </w:r>
      <w:r>
        <w:rPr>
          <w:i/>
          <w:iCs/>
        </w:rPr>
        <w:t xml:space="preserve">bhojyānām</w:t>
      </w:r>
      <w:r>
        <w:t xml:space="preserve"> </w:t>
      </w:r>
      <w:r>
        <w:t xml:space="preserve">Basak 1931–1932 (misprint).</w:t>
      </w:r>
    </w:p>
    <w:p>
      <w:pPr>
        <w:pStyle w:val="BodyText"/>
      </w:pPr>
      <w:r>
        <w:rPr>
          <w:rStyle w:val="ColorGray"/>
        </w:rPr>
        <w:t xml:space="preserve">⟨13⟩</w:t>
      </w:r>
      <w:r>
        <w:t xml:space="preserve"> </w:t>
      </w:r>
      <w:r>
        <w:t xml:space="preserve">Upacaya Eva _ ⬦</w:t>
      </w:r>
      <w:r>
        <w:t xml:space="preserve"> </w:t>
      </w:r>
      <w:r>
        <w:rPr>
          <w:rStyle w:val="ColorGreen"/>
          <w:i/>
          <w:iCs/>
        </w:rPr>
        <w:t xml:space="preserve">Upacaya Eva</w:t>
      </w:r>
      <w:r>
        <w:t xml:space="preserve"> </w:t>
      </w:r>
      <w:r>
        <w:t xml:space="preserve">DB. —</w:t>
      </w:r>
      <w:r>
        <w:t xml:space="preserve"> </w:t>
      </w:r>
      <w:r>
        <w:rPr>
          <w:rStyle w:val="ColorGray"/>
        </w:rPr>
        <w:t xml:space="preserve">⟨13⟩</w:t>
      </w:r>
      <w:r>
        <w:t xml:space="preserve"> </w:t>
      </w:r>
      <w:r>
        <w:t xml:space="preserve">ca⟨.⟩ _ tad ⬦</w:t>
      </w:r>
      <w:r>
        <w:t xml:space="preserve"> </w:t>
      </w:r>
      <w:r>
        <w:rPr>
          <w:rStyle w:val="ColorGreen"/>
          <w:i/>
          <w:iCs/>
        </w:rPr>
        <w:t xml:space="preserve">ca⟨.⟩ tad</w:t>
      </w:r>
      <w:r>
        <w:t xml:space="preserve"> </w:t>
      </w:r>
      <w:r>
        <w:t xml:space="preserve">DB.</w:t>
      </w:r>
    </w:p>
    <w:p>
      <w:pPr>
        <w:pStyle w:val="BodyText"/>
      </w:pPr>
      <w:r>
        <w:rPr>
          <w:rStyle w:val="ColorGray"/>
        </w:rPr>
        <w:t xml:space="preserve">⟨14⟩</w:t>
      </w:r>
      <w:r>
        <w:t xml:space="preserve"> </w:t>
      </w:r>
      <w:r>
        <w:t xml:space="preserve">bhoyila- DB • Understand</w:t>
      </w:r>
      <w:r>
        <w:t xml:space="preserve"> </w:t>
      </w:r>
      <w:r>
        <w:rPr>
          <w:i/>
          <w:iCs/>
        </w:rPr>
        <w:t xml:space="preserve">bhogila-</w:t>
      </w:r>
      <w:r>
        <w:t xml:space="preserve">, as in line 8. —</w:t>
      </w:r>
      <w:r>
        <w:t xml:space="preserve"> </w:t>
      </w:r>
      <w:r>
        <w:rPr>
          <w:rStyle w:val="ColorGray"/>
        </w:rPr>
        <w:t xml:space="preserve">⟨14⟩</w:t>
      </w:r>
      <w:r>
        <w:t xml:space="preserve"> </w:t>
      </w:r>
      <w:r>
        <w:t xml:space="preserve">sakā⟨śā⟩t DB • Emend</w:t>
      </w:r>
      <w:r>
        <w:t xml:space="preserve"> </w:t>
      </w:r>
      <w:r>
        <w:rPr>
          <w:i/>
          <w:iCs/>
        </w:rPr>
        <w:t xml:space="preserve">sakāśāt</w:t>
      </w:r>
      <w:r>
        <w:t xml:space="preserve"> </w:t>
      </w:r>
      <w:r>
        <w:t xml:space="preserve">(Basak 1931–1932).</w:t>
      </w:r>
    </w:p>
    <w:p>
      <w:pPr>
        <w:pStyle w:val="BodyText"/>
      </w:pPr>
      <w:r>
        <w:rPr>
          <w:rStyle w:val="ColorGray"/>
        </w:rPr>
        <w:t xml:space="preserve">⟨15⟩</w:t>
      </w:r>
      <w:r>
        <w:t xml:space="preserve"> </w:t>
      </w:r>
      <w:r>
        <w:t xml:space="preserve">bhoyilasya DB • Understand</w:t>
      </w:r>
      <w:r>
        <w:t xml:space="preserve"> </w:t>
      </w:r>
      <w:r>
        <w:rPr>
          <w:i/>
          <w:iCs/>
        </w:rPr>
        <w:t xml:space="preserve">bhogilasya</w:t>
      </w:r>
      <w:r>
        <w:t xml:space="preserve">, as in line 8. —</w:t>
      </w:r>
      <w:r>
        <w:t xml:space="preserve"> </w:t>
      </w:r>
      <w:r>
        <w:rPr>
          <w:rStyle w:val="ColorGray"/>
        </w:rPr>
        <w:t xml:space="preserve">⟨15⟩</w:t>
      </w:r>
      <w:r>
        <w:t xml:space="preserve"> </w:t>
      </w:r>
      <w:r>
        <w:t xml:space="preserve">tala-v</w:t>
      </w:r>
      <w:r>
        <w:rPr>
          <w:rStyle w:val="ColorRed"/>
        </w:rPr>
        <w:t xml:space="preserve">¿a?</w:t>
      </w:r>
      <w:r>
        <w:rPr>
          <w:rStyle w:val="ColorGreen"/>
        </w:rPr>
        <w:t xml:space="preserve">⟨ā⟩</w:t>
      </w:r>
      <w:r>
        <w:t xml:space="preserve">ṭakādy-artthaM ⬦</w:t>
      </w:r>
      <w:r>
        <w:t xml:space="preserve"> </w:t>
      </w:r>
      <w:r>
        <w:rPr>
          <w:rStyle w:val="ColorGreen"/>
          <w:i/>
          <w:iCs/>
        </w:rPr>
        <w:t xml:space="preserve">tala-vāṭakādy-artthaM</w:t>
      </w:r>
      <w:r>
        <w:t xml:space="preserve"> </w:t>
      </w:r>
      <w:r>
        <w:t xml:space="preserve">DB • Correct</w:t>
      </w:r>
      <w:r>
        <w:t xml:space="preserve"> </w:t>
      </w:r>
      <w:r>
        <w:rPr>
          <w:i/>
          <w:iCs/>
        </w:rPr>
        <w:t xml:space="preserve">talavāṭakādyarttham</w:t>
      </w:r>
      <w:r>
        <w:t xml:space="preserve">, as Basak 1931–1932 reads.</w:t>
      </w:r>
    </w:p>
    <w:p>
      <w:pPr>
        <w:pStyle w:val="BodyText"/>
      </w:pPr>
      <w:r>
        <w:rPr>
          <w:rStyle w:val="ColorGray"/>
        </w:rPr>
        <w:t xml:space="preserve">⟨16⟩</w:t>
      </w:r>
      <w:r>
        <w:t xml:space="preserve"> </w:t>
      </w:r>
      <w:r>
        <w:t xml:space="preserve">śrīgohālyā⟨ṁ⟩ DB • Already corrected by Basak 1931–1932. —</w:t>
      </w:r>
      <w:r>
        <w:t xml:space="preserve"> </w:t>
      </w:r>
      <w:r>
        <w:rPr>
          <w:rStyle w:val="ColorGray"/>
        </w:rPr>
        <w:t xml:space="preserve">⟨16⟩</w:t>
      </w:r>
      <w:r>
        <w:t xml:space="preserve"> </w:t>
      </w:r>
      <w:r>
        <w:t xml:space="preserve">droṇa-vāpaṁ _ bhāska° ⬦</w:t>
      </w:r>
      <w:r>
        <w:t xml:space="preserve"> </w:t>
      </w:r>
      <w:r>
        <w:rPr>
          <w:rStyle w:val="ColorGreen"/>
          <w:i/>
          <w:iCs/>
        </w:rPr>
        <w:t xml:space="preserve">droṇa-vāpaṁ bhāska°</w:t>
      </w:r>
      <w:r>
        <w:t xml:space="preserve"> </w:t>
      </w:r>
      <w:r>
        <w:t xml:space="preserve">DB. —</w:t>
      </w:r>
      <w:r>
        <w:t xml:space="preserve"> </w:t>
      </w:r>
      <w:r>
        <w:rPr>
          <w:rStyle w:val="ColorGray"/>
        </w:rPr>
        <w:t xml:space="preserve">⟨16⟩</w:t>
      </w:r>
      <w:r>
        <w:t xml:space="preserve"> </w:t>
      </w:r>
      <w:r>
        <w:t xml:space="preserve">atraiva ⬦</w:t>
      </w:r>
      <w:r>
        <w:t xml:space="preserve"> </w:t>
      </w:r>
      <w:r>
        <w:rPr>
          <w:rStyle w:val="ColorGreen"/>
          <w:i/>
          <w:iCs/>
        </w:rPr>
        <w:t xml:space="preserve">atr</w:t>
      </w:r>
      <w:r>
        <w:rPr>
          <w:rStyle w:val="ColorRed"/>
          <w:i/>
          <w:iCs/>
        </w:rPr>
        <w:t xml:space="preserve">¿ī?</w:t>
      </w:r>
      <w:r>
        <w:rPr>
          <w:rStyle w:val="ColorGreen"/>
          <w:i/>
          <w:iCs/>
        </w:rPr>
        <w:t xml:space="preserve">⟨ai⟩</w:t>
      </w:r>
      <w:r>
        <w:rPr>
          <w:rStyle w:val="ColorGreen"/>
          <w:i/>
          <w:iCs/>
        </w:rPr>
        <w:t xml:space="preserve">va</w:t>
      </w:r>
      <w:r>
        <w:t xml:space="preserve"> </w:t>
      </w:r>
      <w:r>
        <w:t xml:space="preserve">DB. —</w:t>
      </w:r>
      <w:r>
        <w:t xml:space="preserve"> </w:t>
      </w:r>
      <w:r>
        <w:rPr>
          <w:rStyle w:val="ColorGray"/>
        </w:rPr>
        <w:t xml:space="preserve">⟨16⟩</w:t>
      </w:r>
      <w:r>
        <w:t xml:space="preserve"> </w:t>
      </w:r>
      <w:r>
        <w:t xml:space="preserve">sthal</w:t>
      </w:r>
      <w:r>
        <w:rPr>
          <w:rStyle w:val="ColorRed"/>
        </w:rPr>
        <w:t xml:space="preserve">¿i?</w:t>
      </w:r>
      <w:r>
        <w:rPr>
          <w:rStyle w:val="ColorGreen"/>
        </w:rPr>
        <w:t xml:space="preserve">⟨a⟩</w:t>
      </w:r>
      <w:r>
        <w:t xml:space="preserve">-v</w:t>
      </w:r>
      <w:r>
        <w:rPr>
          <w:rStyle w:val="ColorRed"/>
        </w:rPr>
        <w:t xml:space="preserve">¿a?</w:t>
      </w:r>
      <w:r>
        <w:rPr>
          <w:rStyle w:val="ColorGreen"/>
        </w:rPr>
        <w:t xml:space="preserve">⟨ā⟩</w:t>
      </w:r>
      <w:r>
        <w:t xml:space="preserve">stuno DB ⬦</w:t>
      </w:r>
      <w:r>
        <w:t xml:space="preserve"> </w:t>
      </w:r>
      <w:r>
        <w:rPr>
          <w:rStyle w:val="ColorGreen"/>
          <w:i/>
          <w:iCs/>
        </w:rPr>
        <w:t xml:space="preserve">sthalevastuno</w:t>
      </w:r>
      <w:r>
        <w:t xml:space="preserve"> </w:t>
      </w:r>
      <w:r>
        <w:t xml:space="preserve">RB • Correct</w:t>
      </w:r>
      <w:r>
        <w:t xml:space="preserve"> </w:t>
      </w:r>
      <w:r>
        <w:rPr>
          <w:i/>
          <w:iCs/>
        </w:rPr>
        <w:t xml:space="preserve">sthalavāstuno</w:t>
      </w:r>
      <w:r>
        <w:t xml:space="preserve">. RB reads</w:t>
      </w:r>
      <w:r>
        <w:t xml:space="preserve"> </w:t>
      </w:r>
      <w:r>
        <w:rPr>
          <w:i/>
          <w:iCs/>
        </w:rPr>
        <w:t xml:space="preserve">sthalevastuno</w:t>
      </w:r>
      <w:r>
        <w:t xml:space="preserve"> </w:t>
      </w:r>
      <w:r>
        <w:t xml:space="preserve">and makes the same correction. The</w:t>
      </w:r>
      <w:r>
        <w:t xml:space="preserve"> </w:t>
      </w:r>
      <w:r>
        <w:rPr>
          <w:i/>
          <w:iCs/>
        </w:rPr>
        <w:t xml:space="preserve">akṣara</w:t>
      </w:r>
      <w:r>
        <w:t xml:space="preserve"> </w:t>
      </w:r>
      <w:r>
        <w:t xml:space="preserve">he reads</w:t>
      </w:r>
      <w:r>
        <w:t xml:space="preserve"> </w:t>
      </w:r>
      <w:r>
        <w:rPr>
          <w:i/>
          <w:iCs/>
        </w:rPr>
        <w:t xml:space="preserve">le</w:t>
      </w:r>
      <w:r>
        <w:t xml:space="preserve"> </w:t>
      </w:r>
      <w:r>
        <w:t xml:space="preserve">has a slightly different shape than the</w:t>
      </w:r>
      <w:r>
        <w:t xml:space="preserve"> </w:t>
      </w:r>
      <w:r>
        <w:rPr>
          <w:i/>
          <w:iCs/>
        </w:rPr>
        <w:t xml:space="preserve">le</w:t>
      </w:r>
      <w:r>
        <w:t xml:space="preserve"> </w:t>
      </w:r>
      <w:r>
        <w:t xml:space="preserve">in line 7. —</w:t>
      </w:r>
      <w:r>
        <w:t xml:space="preserve"> </w:t>
      </w:r>
      <w:r>
        <w:rPr>
          <w:rStyle w:val="ColorGray"/>
        </w:rPr>
        <w:t xml:space="preserve">⟨16⟩</w:t>
      </w:r>
      <w:r>
        <w:t xml:space="preserve"> </w:t>
      </w:r>
      <w:r>
        <w:t xml:space="preserve">-vāpa _</w:t>
      </w:r>
      <w:r>
        <w:rPr>
          <w:rStyle w:val="ColorGray"/>
        </w:rPr>
        <w:t xml:space="preserve">⟨17⟩</w:t>
      </w:r>
      <w:r>
        <w:rPr>
          <w:rStyle w:val="ColorRed"/>
        </w:rPr>
        <w:t xml:space="preserve">¿p?</w:t>
      </w:r>
      <w:r>
        <w:rPr>
          <w:rStyle w:val="ColorGreen"/>
        </w:rPr>
        <w:t xml:space="preserve">⟨m⟩</w:t>
      </w:r>
      <w:r>
        <w:t xml:space="preserve"> </w:t>
      </w:r>
      <w:r>
        <w:t xml:space="preserve">⬦</w:t>
      </w:r>
      <w:r>
        <w:t xml:space="preserve"> </w:t>
      </w:r>
      <w:r>
        <w:rPr>
          <w:rStyle w:val="ColorGreen"/>
          <w:i/>
          <w:iCs/>
        </w:rPr>
        <w:t xml:space="preserve">-vāpam</w:t>
      </w:r>
      <w:r>
        <w:t xml:space="preserve"> </w:t>
      </w:r>
      <w:r>
        <w:t xml:space="preserve">DB RB • See note on line 9.</w:t>
      </w:r>
    </w:p>
    <w:p>
      <w:pPr>
        <w:pStyle w:val="BodyText"/>
      </w:pPr>
      <w:r>
        <w:rPr>
          <w:rStyle w:val="ColorGray"/>
        </w:rPr>
        <w:t xml:space="preserve">⟨17⟩</w:t>
      </w:r>
      <w:r>
        <w:t xml:space="preserve"> </w:t>
      </w:r>
      <w:r>
        <w:t xml:space="preserve">ca _ Akṣa° DB • Basak 1931–1932 proposes in note to read</w:t>
      </w:r>
      <w:r>
        <w:t xml:space="preserve"> </w:t>
      </w:r>
      <w:r>
        <w:rPr>
          <w:i/>
          <w:iCs/>
        </w:rPr>
        <w:t xml:space="preserve">cākṣa</w:t>
      </w:r>
      <w:r>
        <w:t xml:space="preserve">-, but the punctuation space between the two words means that non-application of sandhi is intentional. —</w:t>
      </w:r>
      <w:r>
        <w:t xml:space="preserve"> </w:t>
      </w:r>
      <w:r>
        <w:rPr>
          <w:rStyle w:val="ColorGray"/>
        </w:rPr>
        <w:t xml:space="preserve">⟨17⟩</w:t>
      </w:r>
      <w:r>
        <w:t xml:space="preserve"> </w:t>
      </w:r>
      <w:r>
        <w:t xml:space="preserve">°kṣaya-nīvyās ⬦</w:t>
      </w:r>
      <w:r>
        <w:t xml:space="preserve"> </w:t>
      </w:r>
      <w:r>
        <w:rPr>
          <w:rStyle w:val="ColorGreen"/>
          <w:i/>
          <w:iCs/>
        </w:rPr>
        <w:t xml:space="preserve">°kṣaya-</w:t>
      </w:r>
      <w:r>
        <w:rPr>
          <w:rStyle w:val="ColorRed"/>
          <w:i/>
          <w:iCs/>
        </w:rPr>
        <w:t xml:space="preserve">¿nīvyās?</w:t>
      </w:r>
      <w:r>
        <w:rPr>
          <w:rStyle w:val="ColorGreen"/>
          <w:i/>
          <w:iCs/>
        </w:rPr>
        <w:t xml:space="preserve">⟨nīvyā⟩</w:t>
      </w:r>
      <w:r>
        <w:t xml:space="preserve"> </w:t>
      </w:r>
      <w:r>
        <w:t xml:space="preserve">DB. —</w:t>
      </w:r>
      <w:r>
        <w:t xml:space="preserve"> </w:t>
      </w:r>
      <w:r>
        <w:rPr>
          <w:rStyle w:val="ColorGray"/>
        </w:rPr>
        <w:t xml:space="preserve">⟨17⟩</w:t>
      </w:r>
      <w:r>
        <w:t xml:space="preserve"> </w:t>
      </w:r>
      <w:r>
        <w:t xml:space="preserve">dattaM DB ⬦</w:t>
      </w:r>
      <w:r>
        <w:t xml:space="preserve"> </w:t>
      </w:r>
      <w:r>
        <w:rPr>
          <w:rStyle w:val="ColorGreen"/>
          <w:i/>
          <w:iCs/>
        </w:rPr>
        <w:t xml:space="preserve">dattan</w:t>
      </w:r>
      <w:r>
        <w:t xml:space="preserve"> </w:t>
      </w:r>
      <w:r>
        <w:t xml:space="preserve">RB.</w:t>
      </w:r>
    </w:p>
    <w:p>
      <w:pPr>
        <w:pStyle w:val="BodyText"/>
      </w:pPr>
      <w:r>
        <w:rPr>
          <w:rStyle w:val="ColorGray"/>
        </w:rPr>
        <w:t xml:space="preserve">⟨18⟩</w:t>
      </w:r>
      <w:r>
        <w:t xml:space="preserve"> </w:t>
      </w:r>
      <w:r>
        <w:t xml:space="preserve">te DB • In Basak 1931–1932, one reads this note: “The Paharpur plate gives</w:t>
      </w:r>
      <w:r>
        <w:t xml:space="preserve"> </w:t>
      </w:r>
      <w:r>
        <w:rPr>
          <w:i/>
          <w:iCs/>
        </w:rPr>
        <w:t xml:space="preserve">tad</w:t>
      </w:r>
      <w:r>
        <w:t xml:space="preserve">- instead</w:t>
      </w:r>
      <w:r>
        <w:t xml:space="preserve"> </w:t>
      </w:r>
      <w:r>
        <w:rPr>
          <w:i/>
          <w:iCs/>
        </w:rPr>
        <w:t xml:space="preserve">te</w:t>
      </w:r>
      <w:r>
        <w:t xml:space="preserve"> </w:t>
      </w:r>
      <w:r>
        <w:t xml:space="preserve">(l. 19) which is a much better reading.—Ed.”. But the precise collocation</w:t>
      </w:r>
      <w:r>
        <w:t xml:space="preserve"> </w:t>
      </w:r>
      <w:r>
        <w:rPr>
          <w:i/>
          <w:iCs/>
        </w:rPr>
        <w:t xml:space="preserve">te yūyaṁ</w:t>
      </w:r>
      <w:r>
        <w:t xml:space="preserve"> </w:t>
      </w:r>
      <w:r>
        <w:t xml:space="preserve">is also found in the</w:t>
      </w:r>
      <w:r>
        <w:t xml:space="preserve"> </w:t>
      </w:r>
      <w:hyperlink r:id="rId12">
        <w:r>
          <w:rPr>
            <w:rStyle w:val="Hyperlink"/>
          </w:rPr>
          <w:t xml:space="preserve">Mahatī-Raktamālā</w:t>
        </w:r>
      </w:hyperlink>
      <w:r>
        <w:t xml:space="preserve"> </w:t>
      </w:r>
      <w:r>
        <w:t xml:space="preserve">(line 20) and</w:t>
      </w:r>
      <w:r>
        <w:t xml:space="preserve"> </w:t>
      </w:r>
      <w:hyperlink r:id="rId10">
        <w:r>
          <w:rPr>
            <w:rStyle w:val="Hyperlink"/>
          </w:rPr>
          <w:t xml:space="preserve">Nandapur</w:t>
        </w:r>
      </w:hyperlink>
      <w:r>
        <w:t xml:space="preserve"> </w:t>
      </w:r>
      <w:r>
        <w:t xml:space="preserve">(line 13) plates.</w:t>
      </w:r>
    </w:p>
    <w:p>
      <w:pPr>
        <w:pStyle w:val="BodyText"/>
      </w:pPr>
      <w:r>
        <w:rPr>
          <w:rStyle w:val="ColorGray"/>
        </w:rPr>
        <w:t xml:space="preserve">⟨19⟩</w:t>
      </w:r>
      <w:r>
        <w:t xml:space="preserve"> </w:t>
      </w:r>
      <w:r>
        <w:t xml:space="preserve">-sthāyi-tuṣāṅgār-ādinā DB • Correct -</w:t>
      </w:r>
      <w:r>
        <w:rPr>
          <w:i/>
          <w:iCs/>
        </w:rPr>
        <w:t xml:space="preserve">sthāyituṣāṅgārādināṁ</w:t>
      </w:r>
      <w:r>
        <w:t xml:space="preserve"> </w:t>
      </w:r>
      <w:r>
        <w:t xml:space="preserve">or -</w:t>
      </w:r>
      <w:r>
        <w:rPr>
          <w:i/>
          <w:iCs/>
        </w:rPr>
        <w:t xml:space="preserve">sthāyituṣāṅgārādi</w:t>
      </w:r>
      <w:r>
        <w:t xml:space="preserve">- (thus</w:t>
      </w:r>
      <w:r>
        <w:t xml:space="preserve"> </w:t>
      </w:r>
      <w:hyperlink r:id="rId10">
        <w:r>
          <w:rPr>
            <w:rStyle w:val="Hyperlink"/>
          </w:rPr>
          <w:t xml:space="preserve">Nandapur</w:t>
        </w:r>
      </w:hyperlink>
      <w:r>
        <w:t xml:space="preserve">, line 14)? The latter option is reflected in the translation. Basak 1931–1932 reads -</w:t>
      </w:r>
      <w:r>
        <w:rPr>
          <w:i/>
          <w:iCs/>
        </w:rPr>
        <w:t xml:space="preserve">sthāyi</w:t>
      </w:r>
      <w:r>
        <w:t xml:space="preserve">-. —</w:t>
      </w:r>
      <w:r>
        <w:t xml:space="preserve"> </w:t>
      </w:r>
      <w:r>
        <w:rPr>
          <w:rStyle w:val="ColorGray"/>
        </w:rPr>
        <w:t xml:space="preserve">⟨19⟩</w:t>
      </w:r>
      <w:r>
        <w:t xml:space="preserve"> </w:t>
      </w:r>
      <w:r>
        <w:t xml:space="preserve">cāturddiśo DB • Corr.</w:t>
      </w:r>
      <w:r>
        <w:t xml:space="preserve"> </w:t>
      </w:r>
      <w:r>
        <w:rPr>
          <w:i/>
          <w:iCs/>
        </w:rPr>
        <w:t xml:space="preserve">caturdiśo</w:t>
      </w:r>
      <w:r>
        <w:t xml:space="preserve"> </w:t>
      </w:r>
      <w:r>
        <w:t xml:space="preserve">or</w:t>
      </w:r>
      <w:r>
        <w:t xml:space="preserve"> </w:t>
      </w:r>
      <w:r>
        <w:rPr>
          <w:i/>
          <w:iCs/>
        </w:rPr>
        <w:t xml:space="preserve">cāturddiśe</w:t>
      </w:r>
      <w:r>
        <w:t xml:space="preserve">? Cf.</w:t>
      </w:r>
      <w:r>
        <w:t xml:space="preserve"> </w:t>
      </w:r>
      <w:hyperlink r:id="rId10">
        <w:r>
          <w:rPr>
            <w:rStyle w:val="Hyperlink"/>
          </w:rPr>
          <w:t xml:space="preserve">Nandapur</w:t>
        </w:r>
      </w:hyperlink>
      <w:r>
        <w:t xml:space="preserve">, line 14–15</w:t>
      </w:r>
      <w:r>
        <w:t xml:space="preserve"> </w:t>
      </w:r>
      <w:r>
        <w:rPr>
          <w:i/>
          <w:iCs/>
        </w:rPr>
        <w:t xml:space="preserve">caturddiṅniyamitasīmānaṁ kr̥tvā</w:t>
      </w:r>
      <w:r>
        <w:t xml:space="preserve">.</w:t>
      </w:r>
    </w:p>
    <w:p>
      <w:pPr>
        <w:pStyle w:val="BodyText"/>
      </w:pPr>
      <w:r>
        <w:rPr>
          <w:rStyle w:val="ColorGray"/>
        </w:rPr>
        <w:t xml:space="preserve">⟨20⟩</w:t>
      </w:r>
      <w:r>
        <w:t xml:space="preserve"> </w:t>
      </w:r>
      <w:r>
        <w:t xml:space="preserve">dharmme</w:t>
      </w:r>
      <w:r>
        <w:rPr>
          <w:rStyle w:val="ColorRed"/>
        </w:rPr>
        <w:t xml:space="preserve">¿n?</w:t>
      </w:r>
      <w:r>
        <w:rPr>
          <w:rStyle w:val="ColorGreen"/>
        </w:rPr>
        <w:t xml:space="preserve">⟨ṇ⟩</w:t>
      </w:r>
      <w:r>
        <w:t xml:space="preserve">a DB • Already corrected by Basak 1931–1932. —</w:t>
      </w:r>
      <w:r>
        <w:t xml:space="preserve"> </w:t>
      </w:r>
      <w:r>
        <w:rPr>
          <w:rStyle w:val="ColorGray"/>
        </w:rPr>
        <w:t xml:space="preserve">⟨20⟩</w:t>
      </w:r>
      <w:r>
        <w:t xml:space="preserve"> </w:t>
      </w:r>
      <w:r>
        <w:t xml:space="preserve">anupālayiṣyatha _ vartta° ⬦</w:t>
      </w:r>
      <w:r>
        <w:t xml:space="preserve"> </w:t>
      </w:r>
      <w:r>
        <w:rPr>
          <w:rStyle w:val="ColorGreen"/>
          <w:i/>
          <w:iCs/>
        </w:rPr>
        <w:t xml:space="preserve">anupālayiṣyatha vartta°</w:t>
      </w:r>
      <w:r>
        <w:t xml:space="preserve"> </w:t>
      </w:r>
      <w:r>
        <w:t xml:space="preserve">DB.</w:t>
      </w:r>
    </w:p>
    <w:p>
      <w:pPr>
        <w:pStyle w:val="BodyText"/>
      </w:pPr>
      <w:r>
        <w:rPr>
          <w:rStyle w:val="ColorGray"/>
        </w:rPr>
        <w:t xml:space="preserve">⟨21⟩</w:t>
      </w:r>
      <w:r>
        <w:t xml:space="preserve"> </w:t>
      </w:r>
      <w:r>
        <w:t xml:space="preserve">bhagava⟨tā⟩ veda- DB • Basak 1931–1932 emends bhagavadveda-.</w:t>
      </w:r>
    </w:p>
    <w:p>
      <w:pPr>
        <w:pStyle w:val="BodyText"/>
      </w:pPr>
      <w:r>
        <w:rPr>
          <w:rStyle w:val="ColorGray"/>
        </w:rPr>
        <w:t xml:space="preserve">⟨22⟩</w:t>
      </w:r>
      <w:r>
        <w:t xml:space="preserve"> </w:t>
      </w:r>
      <w:r>
        <w:t xml:space="preserve">vasundharā(ṁ) ⬦</w:t>
      </w:r>
      <w:r>
        <w:t xml:space="preserve"> </w:t>
      </w:r>
      <w:r>
        <w:rPr>
          <w:rStyle w:val="ColorGreen"/>
          <w:i/>
          <w:iCs/>
        </w:rPr>
        <w:t xml:space="preserve">vasundharāṁ</w:t>
      </w:r>
      <w:r>
        <w:t xml:space="preserve"> </w:t>
      </w:r>
      <w:r>
        <w:t xml:space="preserve">DB • The sign for final</w:t>
      </w:r>
      <w:r>
        <w:t xml:space="preserve"> </w:t>
      </w:r>
      <w:r>
        <w:rPr>
          <w:i/>
          <w:iCs/>
        </w:rPr>
        <w:t xml:space="preserve">M</w:t>
      </w:r>
      <w:r>
        <w:t xml:space="preserve"> </w:t>
      </w:r>
      <w:r>
        <w:t xml:space="preserve">does not have its usual shape.</w:t>
      </w:r>
    </w:p>
    <w:p>
      <w:pPr>
        <w:pStyle w:val="BodyText"/>
      </w:pPr>
      <w:r>
        <w:rPr>
          <w:rStyle w:val="ColorGray"/>
        </w:rPr>
        <w:t xml:space="preserve">⟨23⟩</w:t>
      </w:r>
      <w:r>
        <w:t xml:space="preserve"> </w:t>
      </w:r>
      <w:r>
        <w:rPr>
          <w:rStyle w:val="ColorRed"/>
        </w:rPr>
        <w:t xml:space="preserve">¿p?</w:t>
      </w:r>
      <w:r>
        <w:rPr>
          <w:rStyle w:val="ColorGreen"/>
        </w:rPr>
        <w:t xml:space="preserve">⟨m⟩</w:t>
      </w:r>
      <w:r>
        <w:t xml:space="preserve">odati ⬦</w:t>
      </w:r>
      <w:r>
        <w:t xml:space="preserve"> </w:t>
      </w:r>
      <w:r>
        <w:rPr>
          <w:rStyle w:val="ColorGreen"/>
          <w:i/>
          <w:iCs/>
        </w:rPr>
        <w:t xml:space="preserve">modati</w:t>
      </w:r>
      <w:r>
        <w:t xml:space="preserve"> </w:t>
      </w:r>
      <w:r>
        <w:t xml:space="preserve">RB DB • See note on line 9. —</w:t>
      </w:r>
      <w:r>
        <w:t xml:space="preserve"> </w:t>
      </w:r>
      <w:r>
        <w:rPr>
          <w:rStyle w:val="ColorGray"/>
        </w:rPr>
        <w:t xml:space="preserve">⟨23⟩</w:t>
      </w:r>
      <w:r>
        <w:t xml:space="preserve"> </w:t>
      </w:r>
      <w:r>
        <w:t xml:space="preserve">vase(T) ⬦</w:t>
      </w:r>
      <w:r>
        <w:t xml:space="preserve"> </w:t>
      </w:r>
      <w:r>
        <w:rPr>
          <w:rStyle w:val="ColorGreen"/>
          <w:i/>
          <w:iCs/>
        </w:rPr>
        <w:t xml:space="preserve">vaseT</w:t>
      </w:r>
      <w:r>
        <w:t xml:space="preserve"> </w:t>
      </w:r>
      <w:r>
        <w:t xml:space="preserve">DB • The sign for final -</w:t>
      </w:r>
      <w:r>
        <w:rPr>
          <w:i/>
          <w:iCs/>
        </w:rPr>
        <w:t xml:space="preserve">T</w:t>
      </w:r>
      <w:r>
        <w:t xml:space="preserve"> </w:t>
      </w:r>
      <w:r>
        <w:t xml:space="preserve">does not have its usual shape.</w:t>
      </w:r>
    </w:p>
    <w:p>
      <w:pPr>
        <w:pStyle w:val="BodyText"/>
      </w:pPr>
      <w:r>
        <w:rPr>
          <w:rStyle w:val="ColorGray"/>
        </w:rPr>
        <w:t xml:space="preserve">⟨24⟩</w:t>
      </w:r>
      <w:r>
        <w:t xml:space="preserve"> </w:t>
      </w:r>
      <w:r>
        <w:t xml:space="preserve">dvijātibhyo ⬦</w:t>
      </w:r>
      <w:r>
        <w:t xml:space="preserve"> </w:t>
      </w:r>
      <w:r>
        <w:rPr>
          <w:rStyle w:val="ColorGreen"/>
          <w:i/>
          <w:iCs/>
        </w:rPr>
        <w:t xml:space="preserve">dvijātibhy</w:t>
      </w:r>
      <w:r>
        <w:rPr>
          <w:rStyle w:val="ColorRed"/>
          <w:i/>
          <w:iCs/>
        </w:rPr>
        <w:t xml:space="preserve">¿ā?</w:t>
      </w:r>
      <w:r>
        <w:rPr>
          <w:rStyle w:val="ColorGreen"/>
          <w:i/>
          <w:iCs/>
        </w:rPr>
        <w:t xml:space="preserve">⟨o⟩</w:t>
      </w:r>
      <w:r>
        <w:t xml:space="preserve"> </w:t>
      </w:r>
      <w:r>
        <w:t xml:space="preserve">DB. —</w:t>
      </w:r>
      <w:r>
        <w:t xml:space="preserve"> </w:t>
      </w:r>
      <w:r>
        <w:rPr>
          <w:rStyle w:val="ColorGray"/>
        </w:rPr>
        <w:t xml:space="preserve">⟨24⟩</w:t>
      </w:r>
      <w:r>
        <w:t xml:space="preserve"> </w:t>
      </w:r>
      <w:r>
        <w:t xml:space="preserve">-dattāṁ DB • -</w:t>
      </w:r>
      <w:r>
        <w:rPr>
          <w:i/>
          <w:iCs/>
        </w:rPr>
        <w:t xml:space="preserve">dattām</w:t>
      </w:r>
      <w:r>
        <w:t xml:space="preserve"> </w:t>
      </w:r>
      <w:r>
        <w:t xml:space="preserve">Basak 1931–1932 (misprint)</w:t>
      </w:r>
    </w:p>
    <w:p>
      <w:pPr>
        <w:pStyle w:val="Heading1"/>
      </w:pPr>
      <w:r>
        <w:t xml:space="preserve">Translation</w:t>
      </w:r>
    </w:p>
    <w:p>
      <w:pPr>
        <w:pStyle w:val="FirstParagraph"/>
      </w:pPr>
      <w:r>
        <w:rPr>
          <w:rStyle w:val="ColorGray"/>
        </w:rPr>
        <w:t xml:space="preserve">⟨1–3⟩</w:t>
      </w:r>
      <w:r>
        <w:t xml:space="preserve"> </w:t>
      </w:r>
      <w:r>
        <w:t xml:space="preserve">Hail! From Pañcanagarī,</w:t>
      </w:r>
      <w:r>
        <w:rPr>
          <w:rStyle w:val="FootnoteReference"/>
        </w:rPr>
        <w:footnoteReference w:id="13"/>
      </w:r>
      <w:r>
        <w:t xml:space="preserve"> </w:t>
      </w:r>
      <w:r>
        <w:t xml:space="preserve">the princely advisor Kulavr̥ddhi, favored by the feet</w:t>
      </w:r>
      <w:r>
        <w:rPr>
          <w:rStyle w:val="FootnoteReference"/>
        </w:rPr>
        <w:footnoteReference w:id="14"/>
      </w:r>
      <w:r>
        <w:t xml:space="preserve"> </w:t>
      </w:r>
      <w:r>
        <w:t xml:space="preserve">of His Majesty the (Gupta) Sovereign,</w:t>
      </w:r>
      <w:r>
        <w:rPr>
          <w:rStyle w:val="FootnoteReference"/>
        </w:rPr>
        <w:footnoteReference w:id="15"/>
      </w:r>
      <w:r>
        <w:t xml:space="preserve"> </w:t>
      </w:r>
      <w:r>
        <w:t xml:space="preserve">and the council of this district, greet the village tenants of ⟨the hamlets⟩ Trivr̥tā and Śrī-Gohālī of ⟨the village⟩ Vāyigrāma</w:t>
      </w:r>
      <w:r>
        <w:rPr>
          <w:rStyle w:val="FootnoteReference"/>
        </w:rPr>
        <w:footnoteReference w:id="17"/>
      </w:r>
      <w:r>
        <w:t xml:space="preserve"> </w:t>
      </w:r>
      <w:r>
        <w:t xml:space="preserve">— consisting chiefly of Brahmins,</w:t>
      </w:r>
      <w:r>
        <w:rPr>
          <w:rStyle w:val="FootnoteReference"/>
        </w:rPr>
        <w:footnoteReference w:id="19"/>
      </w:r>
      <w:r>
        <w:t xml:space="preserve"> </w:t>
      </w:r>
      <w:r>
        <w:t xml:space="preserve">led by the administrator (</w:t>
      </w:r>
      <w:r>
        <w:rPr>
          <w:i/>
          <w:iCs/>
        </w:rPr>
        <w:t xml:space="preserve">saṁvyavahārin</w:t>
      </w:r>
      <w:r>
        <w:t xml:space="preserve">) — and inform them:</w:t>
      </w:r>
    </w:p>
    <w:p>
      <w:pPr>
        <w:pStyle w:val="BodyText"/>
      </w:pPr>
      <w:r>
        <w:rPr>
          <w:rStyle w:val="ColorGray"/>
        </w:rPr>
        <w:t xml:space="preserve">⟨3–10⟩</w:t>
      </w:r>
      <w:r>
        <w:t xml:space="preserve"> </w:t>
      </w:r>
      <w:r>
        <w:t xml:space="preserve">The two tenants Bhoyila and Bhāskara who reside in this very place</w:t>
      </w:r>
      <w:r>
        <w:rPr>
          <w:rStyle w:val="FootnoteReference"/>
        </w:rPr>
        <w:footnoteReference w:id="25"/>
      </w:r>
      <w:r>
        <w:t xml:space="preserve"> </w:t>
      </w:r>
      <w:r>
        <w:t xml:space="preserve">respectfully request:</w:t>
      </w:r>
    </w:p>
    <w:p>
      <w:pPr>
        <w:pStyle w:val="BodyText"/>
      </w:pPr>
      <w:r>
        <w:t xml:space="preserve">This temple of Lord Govindasvāmin, founded by our father Śivanandin, has limited means. In this district, the custom is sale for two</w:t>
      </w:r>
      <w:r>
        <w:t xml:space="preserve"> </w:t>
      </w:r>
      <w:r>
        <w:rPr>
          <w:i/>
          <w:iCs/>
        </w:rPr>
        <w:t xml:space="preserve">dīnāra</w:t>
      </w:r>
      <w:r>
        <w:t xml:space="preserve">s of one</w:t>
      </w:r>
      <w:r>
        <w:t xml:space="preserve"> </w:t>
      </w:r>
      <w:r>
        <w:rPr>
          <w:i/>
          <w:iCs/>
        </w:rPr>
        <w:t xml:space="preserve">kulyavāpa</w:t>
      </w:r>
      <w:r>
        <w:t xml:space="preserve"> </w:t>
      </w:r>
      <w:r>
        <w:t xml:space="preserve">of uncultivated land that is without revenue charges, covered with original shrubs,</w:t>
      </w:r>
      <w:r>
        <w:rPr>
          <w:rStyle w:val="FootnoteReference"/>
        </w:rPr>
        <w:footnoteReference w:id="26"/>
      </w:r>
      <w:r>
        <w:t xml:space="preserve"> </w:t>
      </w:r>
      <w:r>
        <w:t xml:space="preserve">and yields no tax, as permanent endowment to be enjoyed in perpetuity as long as the moon, the sun and the stars ⟨will last⟩. Thus (tad), be so kind as to take from us in cash (</w:t>
      </w:r>
      <w:r>
        <w:rPr>
          <w:i/>
          <w:iCs/>
        </w:rPr>
        <w:t xml:space="preserve">āyīkr̥tya</w:t>
      </w:r>
      <w:r>
        <w:t xml:space="preserve">)</w:t>
      </w:r>
      <w:r>
        <w:rPr>
          <w:rStyle w:val="FootnoteReference"/>
        </w:rPr>
        <w:footnoteReference w:id="27"/>
      </w:r>
      <w:r>
        <w:t xml:space="preserve"> </w:t>
      </w:r>
      <w:r>
        <w:t xml:space="preserve">six</w:t>
      </w:r>
      <w:r>
        <w:t xml:space="preserve"> </w:t>
      </w:r>
      <w:r>
        <w:rPr>
          <w:i/>
          <w:iCs/>
        </w:rPr>
        <w:t xml:space="preserve">dīnāra</w:t>
      </w:r>
      <w:r>
        <w:t xml:space="preserve">s and eight</w:t>
      </w:r>
      <w:r>
        <w:t xml:space="preserve"> </w:t>
      </w:r>
      <w:r>
        <w:rPr>
          <w:i/>
          <w:iCs/>
        </w:rPr>
        <w:t xml:space="preserve">rūpaka</w:t>
      </w:r>
      <w:r>
        <w:t xml:space="preserve">s and — for the purpose of carrying out the repairs of breaches (</w:t>
      </w:r>
      <w:r>
        <w:rPr>
          <w:i/>
          <w:iCs/>
        </w:rPr>
        <w:t xml:space="preserve">khaṇḍa</w:t>
      </w:r>
      <w:r>
        <w:t xml:space="preserve">) and cracks (</w:t>
      </w:r>
      <w:r>
        <w:rPr>
          <w:i/>
          <w:iCs/>
        </w:rPr>
        <w:t xml:space="preserve">phuṭṭa</w:t>
      </w:r>
      <w:r>
        <w:t xml:space="preserve">)</w:t>
      </w:r>
      <w:r>
        <w:rPr>
          <w:rStyle w:val="FootnoteReference"/>
        </w:rPr>
        <w:footnoteReference w:id="29"/>
      </w:r>
      <w:r>
        <w:t xml:space="preserve"> </w:t>
      </w:r>
      <w:r>
        <w:t xml:space="preserve">in the temple of Lord Govindasvāmin, and for offerings of perfume, incense, lamps and flowers — give</w:t>
      </w:r>
    </w:p>
    <w:p>
      <w:pPr>
        <w:pStyle w:val="FirstParagraph"/>
        <w:numPr>
          <w:ilvl w:val="0"/>
          <w:numId w:val="1001"/>
        </w:numPr>
      </w:pPr>
      <w:r>
        <w:t xml:space="preserve">in ⟨the hamlet⟩ Trivr̥tā, to Bhogila, three</w:t>
      </w:r>
      <w:r>
        <w:t xml:space="preserve"> </w:t>
      </w:r>
      <w:r>
        <w:rPr>
          <w:i/>
          <w:iCs/>
        </w:rPr>
        <w:t xml:space="preserve">kulyavāpa</w:t>
      </w:r>
      <w:r>
        <w:t xml:space="preserve">s of uncultivated land;</w:t>
      </w:r>
    </w:p>
    <w:p>
      <w:pPr>
        <w:pStyle w:val="FirstParagraph"/>
        <w:numPr>
          <w:ilvl w:val="0"/>
          <w:numId w:val="1001"/>
        </w:numPr>
      </w:pPr>
      <w:r>
        <w:t xml:space="preserve">and in ⟨the hamlet⟩ Śrī-Gohālī, to serve as parcel adjacent ⟨to the temple⟩,</w:t>
      </w:r>
      <w:r>
        <w:rPr>
          <w:rStyle w:val="FootnoteReference"/>
        </w:rPr>
        <w:footnoteReference w:id="30"/>
      </w:r>
      <w:r>
        <w:t xml:space="preserve"> </w:t>
      </w:r>
      <w:r>
        <w:t xml:space="preserve">one</w:t>
      </w:r>
      <w:r>
        <w:t xml:space="preserve"> </w:t>
      </w:r>
      <w:r>
        <w:rPr>
          <w:i/>
          <w:iCs/>
        </w:rPr>
        <w:t xml:space="preserve">droṇavāpa</w:t>
      </w:r>
      <w:r>
        <w:t xml:space="preserve"> </w:t>
      </w:r>
      <w:r>
        <w:t xml:space="preserve">of inhabitable terrain;</w:t>
      </w:r>
    </w:p>
    <w:p>
      <w:pPr>
        <w:pStyle w:val="FirstParagraph"/>
        <w:numPr>
          <w:ilvl w:val="0"/>
          <w:numId w:val="1001"/>
        </w:numPr>
      </w:pPr>
      <w:r>
        <w:t xml:space="preserve">and ⟨in the same hamlet⟩ to Bhāskara, one</w:t>
      </w:r>
      <w:r>
        <w:t xml:space="preserve"> </w:t>
      </w:r>
      <w:r>
        <w:rPr>
          <w:i/>
          <w:iCs/>
        </w:rPr>
        <w:t xml:space="preserve">droṇavāpa</w:t>
      </w:r>
      <w:r>
        <w:t xml:space="preserve"> </w:t>
      </w:r>
      <w:r>
        <w:t xml:space="preserve">of inhabitable terrain.</w:t>
      </w:r>
    </w:p>
    <w:p>
      <w:pPr>
        <w:pStyle w:val="FirstParagraph"/>
      </w:pPr>
      <w:r>
        <w:rPr>
          <w:rStyle w:val="ColorGray"/>
        </w:rPr>
        <w:t xml:space="preserve">⟨10–13⟩</w:t>
      </w:r>
      <w:r>
        <w:t xml:space="preserve"> </w:t>
      </w:r>
      <w:r>
        <w:t xml:space="preserve">Wherefore we (Kulavr̥ddhi and the council) inform you: “It has been ascertained through the investigation of the record-keepers Durgādatta and Arkadāsa that the custom in this district is sale for two</w:t>
      </w:r>
      <w:r>
        <w:t xml:space="preserve"> </w:t>
      </w:r>
      <w:r>
        <w:rPr>
          <w:i/>
          <w:iCs/>
        </w:rPr>
        <w:t xml:space="preserve">dīnāra</w:t>
      </w:r>
      <w:r>
        <w:t xml:space="preserve">s of one</w:t>
      </w:r>
      <w:r>
        <w:t xml:space="preserve"> </w:t>
      </w:r>
      <w:r>
        <w:rPr>
          <w:i/>
          <w:iCs/>
        </w:rPr>
        <w:t xml:space="preserve">kulyavāpa</w:t>
      </w:r>
      <w:r>
        <w:t xml:space="preserve"> </w:t>
      </w:r>
      <w:r>
        <w:t xml:space="preserve">of uncultivated land that is without revenue charges,covered with original shrubs, to be enjoyed in perpetuity as long as the moon, the sun and the stars ⟨will last⟩. And in the sale of such uncultivated land that yields no tax there is no conflict with the interest of the king; there is only benefit, and obtainment by His Majesty the Sovereign of a sixth part of the merit (accruing from the donation);</w:t>
      </w:r>
      <w:r>
        <w:rPr>
          <w:rStyle w:val="FootnoteReference"/>
        </w:rPr>
        <w:footnoteReference w:id="32"/>
      </w:r>
      <w:r>
        <w:t xml:space="preserve"> </w:t>
      </w:r>
      <w:r>
        <w:t xml:space="preserve">so that it ought to be given”</w:t>
      </w:r>
    </w:p>
    <w:p>
      <w:pPr>
        <w:pStyle w:val="BodyText"/>
      </w:pPr>
      <w:r>
        <w:rPr>
          <w:rStyle w:val="ColorGray"/>
        </w:rPr>
        <w:t xml:space="preserve">⟨13–18⟩</w:t>
      </w:r>
      <w:r>
        <w:t xml:space="preserve"> </w:t>
      </w:r>
      <w:r>
        <w:t xml:space="preserve">After six</w:t>
      </w:r>
      <w:r>
        <w:t xml:space="preserve"> </w:t>
      </w:r>
      <w:r>
        <w:rPr>
          <w:i/>
          <w:iCs/>
        </w:rPr>
        <w:t xml:space="preserve">dīnāra</w:t>
      </w:r>
      <w:r>
        <w:t xml:space="preserve">s and eight</w:t>
      </w:r>
      <w:r>
        <w:t xml:space="preserve"> </w:t>
      </w:r>
      <w:r>
        <w:rPr>
          <w:i/>
          <w:iCs/>
        </w:rPr>
        <w:t xml:space="preserve">rūpaka</w:t>
      </w:r>
      <w:r>
        <w:t xml:space="preserve">s had been taken in cash from these two, Bhoyila and Bhāskara, for the purpose of the temple of Lord Govindasvāmin,</w:t>
      </w:r>
    </w:p>
    <w:p>
      <w:pPr>
        <w:pStyle w:val="FirstParagraph"/>
        <w:numPr>
          <w:ilvl w:val="0"/>
          <w:numId w:val="1002"/>
        </w:numPr>
      </w:pPr>
      <w:r>
        <w:t xml:space="preserve">to Bhoyila, in ⟨the hamlet⟩ Trivr̥tā, three</w:t>
      </w:r>
      <w:r>
        <w:t xml:space="preserve"> </w:t>
      </w:r>
      <w:r>
        <w:rPr>
          <w:i/>
          <w:iCs/>
        </w:rPr>
        <w:t xml:space="preserve">kulyavāpa</w:t>
      </w:r>
      <w:r>
        <w:t xml:space="preserve">s of uncultivated land to serve as parcel adjacent ⟨to the temple⟩ etc.;</w:t>
      </w:r>
    </w:p>
    <w:p>
      <w:pPr>
        <w:pStyle w:val="FirstParagraph"/>
        <w:numPr>
          <w:ilvl w:val="0"/>
          <w:numId w:val="1002"/>
        </w:numPr>
      </w:pPr>
      <w:r>
        <w:t xml:space="preserve">in ⟨the hamlet⟩ Śrī-Gohālī,</w:t>
      </w:r>
      <w:r>
        <w:rPr>
          <w:rStyle w:val="FootnoteReference"/>
        </w:rPr>
        <w:footnoteReference w:id="34"/>
      </w:r>
      <w:r>
        <w:t xml:space="preserve"> </w:t>
      </w:r>
      <w:r>
        <w:t xml:space="preserve">one</w:t>
      </w:r>
      <w:r>
        <w:t xml:space="preserve"> </w:t>
      </w:r>
      <w:r>
        <w:rPr>
          <w:i/>
          <w:iCs/>
        </w:rPr>
        <w:t xml:space="preserve">droṇavāpa</w:t>
      </w:r>
      <w:r>
        <w:t xml:space="preserve"> </w:t>
      </w:r>
      <w:r>
        <w:t xml:space="preserve">of inhabitable terrain;</w:t>
      </w:r>
    </w:p>
    <w:p>
      <w:pPr>
        <w:pStyle w:val="FirstParagraph"/>
        <w:numPr>
          <w:ilvl w:val="0"/>
          <w:numId w:val="1002"/>
        </w:numPr>
      </w:pPr>
      <w:r>
        <w:t xml:space="preserve">and in this very place to Bhāskara, one</w:t>
      </w:r>
      <w:r>
        <w:t xml:space="preserve"> </w:t>
      </w:r>
      <w:r>
        <w:rPr>
          <w:i/>
          <w:iCs/>
        </w:rPr>
        <w:t xml:space="preserve">droṇavāpa</w:t>
      </w:r>
      <w:r>
        <w:t xml:space="preserve"> </w:t>
      </w:r>
      <w:r>
        <w:t xml:space="preserve">of inhabitable terrain;</w:t>
      </w:r>
    </w:p>
    <w:p>
      <w:pPr>
        <w:pStyle w:val="FirstParagraph"/>
      </w:pPr>
      <w:r>
        <w:t xml:space="preserve">in this way three</w:t>
      </w:r>
      <w:r>
        <w:t xml:space="preserve"> </w:t>
      </w:r>
      <w:r>
        <w:rPr>
          <w:i/>
          <w:iCs/>
        </w:rPr>
        <w:t xml:space="preserve">kulyavāpa</w:t>
      </w:r>
      <w:r>
        <w:t xml:space="preserve">s and two</w:t>
      </w:r>
      <w:r>
        <w:t xml:space="preserve"> </w:t>
      </w:r>
      <w:r>
        <w:rPr>
          <w:i/>
          <w:iCs/>
        </w:rPr>
        <w:t xml:space="preserve">droṇavāpa</w:t>
      </w:r>
      <w:r>
        <w:t xml:space="preserve">s have been given with a copper plate for a permanent endowment. Low (</w:t>
      </w:r>
      <w:r>
        <w:rPr>
          <w:i/>
          <w:iCs/>
        </w:rPr>
        <w:t xml:space="preserve">ninna</w:t>
      </w:r>
      <w:r>
        <w:t xml:space="preserve">): 3</w:t>
      </w:r>
      <w:r>
        <w:t xml:space="preserve"> </w:t>
      </w:r>
      <w:r>
        <w:rPr>
          <w:i/>
          <w:iCs/>
        </w:rPr>
        <w:t xml:space="preserve">ku⟨lyavāpa⟩</w:t>
      </w:r>
      <w:r>
        <w:t xml:space="preserve">; inhabitable: 2</w:t>
      </w:r>
      <w:r>
        <w:t xml:space="preserve"> </w:t>
      </w:r>
      <w:r>
        <w:rPr>
          <w:i/>
          <w:iCs/>
        </w:rPr>
        <w:t xml:space="preserve">dro⟨ṇavāpa⟩</w:t>
      </w:r>
      <w:r>
        <w:t xml:space="preserve">.</w:t>
      </w:r>
    </w:p>
    <w:p>
      <w:pPr>
        <w:pStyle w:val="BodyText"/>
      </w:pPr>
      <w:r>
        <w:rPr>
          <w:rStyle w:val="ColorGray"/>
        </w:rPr>
        <w:t xml:space="preserve">⟨18–21⟩</w:t>
      </w:r>
      <w:r>
        <w:t xml:space="preserve"> </w:t>
      </w:r>
      <w:r>
        <w:t xml:space="preserve">You there (mentioned at the start of the grant) shall separate them off using two reeds, eight by ninefold with the ladle-work (darvīkarma) cubit,</w:t>
      </w:r>
      <w:r>
        <w:rPr>
          <w:rStyle w:val="FootnoteReference"/>
        </w:rPr>
        <w:footnoteReference w:id="37"/>
      </w:r>
      <w:r>
        <w:t xml:space="preserve"> </w:t>
      </w:r>
      <w:r>
        <w:t xml:space="preserve">in a place that does not conflict with your own cultivation; shall limit them in the four directions with long-lasting markers such as (pots filled with)</w:t>
      </w:r>
      <w:r>
        <w:rPr>
          <w:rStyle w:val="FootnoteReference"/>
        </w:rPr>
        <w:footnoteReference w:id="38"/>
      </w:r>
      <w:r>
        <w:t xml:space="preserve"> </w:t>
      </w:r>
      <w:r>
        <w:t xml:space="preserve">chaff or charcoal; shall make the donation and shall protect it in perpetuity according to the rule of a permanent endowment. And out of deference to this rule it is to be protected by present and future administrators, etc.</w:t>
      </w:r>
    </w:p>
    <w:p>
      <w:pPr>
        <w:pStyle w:val="BodyText"/>
      </w:pPr>
      <w:r>
        <w:rPr>
          <w:rStyle w:val="ColorGray"/>
        </w:rPr>
        <w:t xml:space="preserve">⟨21–25⟩</w:t>
      </w:r>
      <w:r>
        <w:t xml:space="preserve"> </w:t>
      </w:r>
      <w:r>
        <w:t xml:space="preserve">And it has been said by the magnanimous Lord Vedavyāsa:</w:t>
      </w:r>
    </w:p>
    <w:p>
      <w:pPr>
        <w:pStyle w:val="BodyText"/>
      </w:pPr>
      <w:r>
        <w:t xml:space="preserve">1.</w:t>
      </w:r>
    </w:p>
    <w:p>
      <w:pPr>
        <w:pStyle w:val="BodyText"/>
      </w:pPr>
      <w:r>
        <w:t xml:space="preserve">The one who would steal land given by himself or another becomes a worm in excrement and is cooked with his ancestors.</w:t>
      </w:r>
      <w:r>
        <w:rPr>
          <w:rStyle w:val="FootnoteReference"/>
        </w:rPr>
        <w:footnoteReference w:id="40"/>
      </w:r>
    </w:p>
    <w:p>
      <w:pPr>
        <w:pStyle w:val="BodyText"/>
      </w:pPr>
      <w:r>
        <w:t xml:space="preserve">2.</w:t>
      </w:r>
    </w:p>
    <w:p>
      <w:pPr>
        <w:pStyle w:val="BodyText"/>
      </w:pPr>
      <w:r>
        <w:t xml:space="preserve">The giver of land resides sixty thousand years in heaven; the one who challenges (a donation) as well as the one who approves (of the challenge) will reside as many ⟨years⟩ in hell.</w:t>
      </w:r>
      <w:r>
        <w:rPr>
          <w:rStyle w:val="FootnoteReference"/>
        </w:rPr>
        <w:footnoteReference w:id="42"/>
      </w:r>
    </w:p>
    <w:p>
      <w:pPr>
        <w:pStyle w:val="BodyText"/>
      </w:pPr>
      <w:r>
        <w:t xml:space="preserve">3.</w:t>
      </w:r>
    </w:p>
    <w:p>
      <w:pPr>
        <w:pStyle w:val="BodyText"/>
      </w:pPr>
      <w:r>
        <w:t xml:space="preserve">You, excellent Yudhiṣṭhira, must strenuously protect land previously given to brahmins by kings. Safeguarding is even better than giving.</w:t>
      </w:r>
      <w:r>
        <w:rPr>
          <w:rStyle w:val="FootnoteReference"/>
        </w:rPr>
        <w:footnoteReference w:id="43"/>
      </w:r>
    </w:p>
    <w:p>
      <w:pPr>
        <w:pStyle w:val="BodyText"/>
      </w:pPr>
      <w:r>
        <w:rPr>
          <w:rStyle w:val="ColorGray"/>
        </w:rPr>
        <w:t xml:space="preserve">⟨25⟩</w:t>
      </w:r>
      <w:r>
        <w:t xml:space="preserve"> </w:t>
      </w:r>
      <w:r>
        <w:t xml:space="preserve">Year 128, (month of) Māgha, day 19.</w:t>
      </w:r>
    </w:p>
    <w:p>
      <w:pPr>
        <w:pStyle w:val="Heading1"/>
      </w:pPr>
      <w:r>
        <w:t xml:space="preserve">Commentary</w:t>
      </w:r>
    </w:p>
    <w:p>
      <w:pPr>
        <w:pStyle w:val="FirstParagraph"/>
      </w:pPr>
      <w:r>
        <w:t xml:space="preserve">Regarding the indication</w:t>
      </w:r>
      <w:r>
        <w:t xml:space="preserve"> </w:t>
      </w:r>
      <w:r>
        <w:rPr>
          <w:i/>
          <w:iCs/>
        </w:rPr>
        <w:t xml:space="preserve">ninna ku 3 sthala dro 2</w:t>
      </w:r>
      <w:r>
        <w:t xml:space="preserve"> </w:t>
      </w:r>
      <w:r>
        <w:t xml:space="preserve">(line 17), in Basak 1931–1932 one reads the following note: “This word (</w:t>
      </w:r>
      <w:r>
        <w:rPr>
          <w:i/>
          <w:iCs/>
        </w:rPr>
        <w:t xml:space="preserve">ninna</w:t>
      </w:r>
      <w:r>
        <w:t xml:space="preserve">) put before the abbreviated totalisation of the amount of land purchased does not appear to me explicable. [</w:t>
      </w:r>
      <w:r>
        <w:rPr>
          <w:i/>
          <w:iCs/>
        </w:rPr>
        <w:t xml:space="preserve">Phuṭṭa</w:t>
      </w:r>
      <w:r>
        <w:t xml:space="preserve"> </w:t>
      </w:r>
      <w:r>
        <w:t xml:space="preserve">(= Skt.</w:t>
      </w:r>
      <w:r>
        <w:t xml:space="preserve"> </w:t>
      </w:r>
      <w:r>
        <w:rPr>
          <w:i/>
          <w:iCs/>
        </w:rPr>
        <w:t xml:space="preserve">sphuṭṭa</w:t>
      </w:r>
      <w:r>
        <w:t xml:space="preserve">) in line 7 would suggest that it might stand for Skt.</w:t>
      </w:r>
      <w:r>
        <w:t xml:space="preserve"> </w:t>
      </w:r>
      <w:r>
        <w:rPr>
          <w:i/>
          <w:iCs/>
        </w:rPr>
        <w:t xml:space="preserve">nimna</w:t>
      </w:r>
      <w:r>
        <w:t xml:space="preserve"> </w:t>
      </w:r>
      <w:r>
        <w:t xml:space="preserve">meaning low land.—Ed.]”. The editor’s hypothesis is confirmed by the fact that</w:t>
      </w:r>
      <w:r>
        <w:t xml:space="preserve"> </w:t>
      </w:r>
      <w:r>
        <w:rPr>
          <w:i/>
          <w:iCs/>
        </w:rPr>
        <w:t xml:space="preserve">nimna</w:t>
      </w:r>
      <w:r>
        <w:t xml:space="preserve"> </w:t>
      </w:r>
      <w:r>
        <w:t xml:space="preserve">and</w:t>
      </w:r>
      <w:r>
        <w:t xml:space="preserve"> </w:t>
      </w:r>
      <w:r>
        <w:rPr>
          <w:i/>
          <w:iCs/>
        </w:rPr>
        <w:t xml:space="preserve">sthala</w:t>
      </w:r>
      <w:r>
        <w:t xml:space="preserve"> </w:t>
      </w:r>
      <w:r>
        <w:t xml:space="preserve">form a fixed pair. See</w:t>
      </w:r>
      <w:r>
        <w:t xml:space="preserve"> </w:t>
      </w:r>
      <w:r>
        <w:rPr>
          <w:i/>
          <w:iCs/>
        </w:rPr>
        <w:t xml:space="preserve">Rāmāyaṇa</w:t>
      </w:r>
      <w:r>
        <w:t xml:space="preserve"> </w:t>
      </w:r>
      <w:r>
        <w:t xml:space="preserve">6.93.19</w:t>
      </w:r>
      <w:r>
        <w:t xml:space="preserve"> </w:t>
      </w:r>
      <w:r>
        <w:rPr>
          <w:i/>
          <w:iCs/>
        </w:rPr>
        <w:t xml:space="preserve">sthalanimnāni bhūmeś ca</w:t>
      </w:r>
      <w:r>
        <w:t xml:space="preserve">, but particularly these stanzas from the</w:t>
      </w:r>
      <w:r>
        <w:t xml:space="preserve"> </w:t>
      </w:r>
      <w:r>
        <w:rPr>
          <w:i/>
          <w:iCs/>
        </w:rPr>
        <w:t xml:space="preserve">Nāradasmr̥ti</w:t>
      </w:r>
      <w:r>
        <w:t xml:space="preserve"> </w:t>
      </w:r>
      <w:r>
        <w:t xml:space="preserve">(11.3–5):</w:t>
      </w:r>
    </w:p>
    <w:p>
      <w:pPr>
        <w:pStyle w:val="BodyText"/>
      </w:pPr>
      <w:r>
        <w:t xml:space="preserve">“</w:t>
      </w:r>
      <w:r>
        <w:rPr>
          <w:i/>
          <w:iCs/>
        </w:rPr>
        <w:t xml:space="preserve">grāmasīmāsu ca bahir ye syus tatkr̥ṣijīvinaḥ | gopaśākunikavyādhā ye cānye vanagocarāḥ || samunnayeyus te sīmāṁ lakṣaṇair upalakṣitām |</w:t>
      </w:r>
      <w:r>
        <w:rPr>
          <w:i/>
          <w:iCs/>
        </w:rPr>
        <w:t xml:space="preserve"> </w:t>
      </w:r>
      <w:r>
        <w:rPr>
          <w:b/>
          <w:bCs/>
          <w:i/>
          <w:iCs/>
        </w:rPr>
        <w:t xml:space="preserve">tuṣāṅgāra</w:t>
      </w:r>
      <w:r>
        <w:rPr>
          <w:i/>
          <w:iCs/>
        </w:rPr>
        <w:t xml:space="preserve">kapālaiś ca kumbhair āyatanair drumaiḥ || abhijñātaiś ca valmīka</w:t>
      </w:r>
      <w:r>
        <w:rPr>
          <w:b/>
          <w:bCs/>
          <w:i/>
          <w:iCs/>
        </w:rPr>
        <w:t xml:space="preserve">sthalanimno</w:t>
      </w:r>
      <w:r>
        <w:rPr>
          <w:i/>
          <w:iCs/>
        </w:rPr>
        <w:t xml:space="preserve">nnatādibhiḥ | kedārārāmamārgaiś ca purāṇaiḥ setubhis tathā ||</w:t>
      </w:r>
      <w:r>
        <w:t xml:space="preserve">”</w:t>
      </w:r>
    </w:p>
    <w:p>
      <w:pPr>
        <w:pStyle w:val="BodyText"/>
      </w:pPr>
      <w:r>
        <w:t xml:space="preserve">“In the case of the village boundaries, those who make their living by farming outside it, cowherds, bord catchers, hunters and others who inhabit the forest should delineate the boundary which is marked by such things as pots–of chaff, charcoal or crockery–shrines, trees, and by familiar markers such as ant hills,</w:t>
      </w:r>
      <w:r>
        <w:t xml:space="preserve"> </w:t>
      </w:r>
      <w:r>
        <w:rPr>
          <w:b/>
          <w:bCs/>
        </w:rPr>
        <w:t xml:space="preserve">mounds, depressions</w:t>
      </w:r>
      <w:r>
        <w:t xml:space="preserve">, elevations, etc., and paddies, groves, roads, or old dikes.” (edition and translation</w:t>
      </w:r>
      <w:r>
        <w:t xml:space="preserve"> </w:t>
      </w:r>
      <w:hyperlink r:id="rId44">
        <w:r>
          <w:rPr>
            <w:rStyle w:val="Hyperlink"/>
          </w:rPr>
          <w:t xml:space="preserve">Lariviere 1989</w:t>
        </w:r>
      </w:hyperlink>
      <w:r>
        <w:t xml:space="preserve">)</w:t>
      </w:r>
    </w:p>
    <w:p>
      <w:pPr>
        <w:pStyle w:val="BodyText"/>
      </w:pPr>
      <w:r>
        <w:t xml:space="preserve">In the context, the word</w:t>
      </w:r>
      <w:r>
        <w:t xml:space="preserve"> </w:t>
      </w:r>
      <w:r>
        <w:rPr>
          <w:i/>
          <w:iCs/>
        </w:rPr>
        <w:t xml:space="preserve">ninna</w:t>
      </w:r>
      <w:r>
        <w:t xml:space="preserve"> </w:t>
      </w:r>
      <w:r>
        <w:t xml:space="preserve">serves as an equivalent to</w:t>
      </w:r>
      <w:r>
        <w:t xml:space="preserve"> </w:t>
      </w:r>
      <w:r>
        <w:rPr>
          <w:i/>
          <w:iCs/>
        </w:rPr>
        <w:t xml:space="preserve">(khila)kṣetra</w:t>
      </w:r>
      <w:r>
        <w:t xml:space="preserve">.</w:t>
      </w:r>
    </w:p>
    <w:p>
      <w:pPr>
        <w:pStyle w:val="BodyText"/>
      </w:pPr>
      <w:r>
        <w:t xml:space="preserve">The</w:t>
      </w:r>
      <w:r>
        <w:t xml:space="preserve"> </w:t>
      </w:r>
      <w:r>
        <w:rPr>
          <w:i/>
          <w:iCs/>
        </w:rPr>
        <w:t xml:space="preserve">Nāradasmr̥ti</w:t>
      </w:r>
      <w:r>
        <w:t xml:space="preserve"> </w:t>
      </w:r>
      <w:r>
        <w:t xml:space="preserve">passage just cited also clarifies another word figuring immediately after this indication in the inscription, viz.</w:t>
      </w:r>
      <w:r>
        <w:t xml:space="preserve"> </w:t>
      </w:r>
      <w:r>
        <w:rPr>
          <w:i/>
          <w:iCs/>
        </w:rPr>
        <w:t xml:space="preserve">tuṣāṅgāra</w:t>
      </w:r>
      <w:r>
        <w:t xml:space="preserve">. The somewhat cryptic statement of the</w:t>
      </w:r>
      <w:r>
        <w:t xml:space="preserve"> </w:t>
      </w:r>
      <w:r>
        <w:rPr>
          <w:i/>
          <w:iCs/>
        </w:rPr>
        <w:t xml:space="preserve">Nāradasmr̥ti</w:t>
      </w:r>
      <w:r>
        <w:t xml:space="preserve"> </w:t>
      </w:r>
      <w:r>
        <w:t xml:space="preserve">passage is in turn clarified by the following passage translated from fragments of the</w:t>
      </w:r>
      <w:r>
        <w:t xml:space="preserve"> </w:t>
      </w:r>
      <w:r>
        <w:rPr>
          <w:i/>
          <w:iCs/>
        </w:rPr>
        <w:t xml:space="preserve">Br̥haspatismr̥ti</w:t>
      </w:r>
      <w:r>
        <w:t xml:space="preserve"> </w:t>
      </w:r>
      <w:r>
        <w:t xml:space="preserve">(</w:t>
      </w:r>
      <w:hyperlink r:id="rId45">
        <w:r>
          <w:rPr>
            <w:rStyle w:val="Hyperlink"/>
          </w:rPr>
          <w:t xml:space="preserve">Jolly 1889</w:t>
        </w:r>
      </w:hyperlink>
      <w:r>
        <w:t xml:space="preserve">, p. 351):</w:t>
      </w:r>
    </w:p>
    <w:p>
      <w:pPr>
        <w:pStyle w:val="BodyText"/>
      </w:pPr>
      <w:r>
        <w:t xml:space="preserve">1.</w:t>
      </w:r>
    </w:p>
    <w:p>
      <w:pPr>
        <w:pStyle w:val="BodyText"/>
      </w:pPr>
      <w:r>
        <w:t xml:space="preserve">This rule regarding rescission of purchase and sale has been declared. Hear the laws concerning boundaries of villages, fields, houses, and so forth.</w:t>
      </w:r>
    </w:p>
    <w:p>
      <w:pPr>
        <w:pStyle w:val="BodyText"/>
      </w:pPr>
      <w:r>
        <w:t xml:space="preserve">2.</w:t>
      </w:r>
    </w:p>
    <w:p>
      <w:pPr>
        <w:pStyle w:val="BodyText"/>
      </w:pPr>
      <w:r>
        <w:t xml:space="preserve">The determination of boundaries should be settled at the time of foundation, and it should be marked by visible and invisible signs, so as to dispel doubt.</w:t>
      </w:r>
    </w:p>
    <w:p>
      <w:pPr>
        <w:pStyle w:val="BodyText"/>
      </w:pPr>
      <w:r>
        <w:t xml:space="preserve">3.</w:t>
      </w:r>
    </w:p>
    <w:p>
      <w:pPr>
        <w:pStyle w:val="BodyText"/>
      </w:pPr>
      <w:r>
        <w:t xml:space="preserve">Wells, tanks, pools, large trees, gardens, temples, mounds, channels, the course of a river, reeds, shrubs, or piles of stones:</w:t>
      </w:r>
    </w:p>
    <w:p>
      <w:pPr>
        <w:pStyle w:val="BodyText"/>
      </w:pPr>
      <w:r>
        <w:t xml:space="preserve">4.</w:t>
      </w:r>
    </w:p>
    <w:p>
      <w:pPr>
        <w:pStyle w:val="BodyText"/>
      </w:pPr>
      <w:r>
        <w:t xml:space="preserve">By such visible signs as these a boundary line should always be caused to be marked; also, by other (marks) deposited underground which the earth is not likely to destroy.</w:t>
      </w:r>
    </w:p>
    <w:p>
      <w:pPr>
        <w:pStyle w:val="BodyText"/>
      </w:pPr>
      <w:r>
        <w:t xml:space="preserve">5.</w:t>
      </w:r>
    </w:p>
    <w:p>
      <w:pPr>
        <w:pStyle w:val="BodyText"/>
      </w:pPr>
      <w:r>
        <w:t xml:space="preserve">Dry cowdung, bones, chaff, charcoal, stones, potsherds, sand, bricks, cows’ tails, cotton seeds, and ashes:</w:t>
      </w:r>
    </w:p>
    <w:p>
      <w:pPr>
        <w:pStyle w:val="BodyText"/>
      </w:pPr>
      <w:r>
        <w:t xml:space="preserve">6.</w:t>
      </w:r>
    </w:p>
    <w:p>
      <w:pPr>
        <w:pStyle w:val="BodyText"/>
      </w:pPr>
      <w:r>
        <w:t xml:space="preserve">After having placed these substances in vessels, one should deposit them underground at the extremities of the boundary.</w:t>
      </w:r>
      <w:r>
        <w:rPr>
          <w:rStyle w:val="FootnoteReference"/>
        </w:rPr>
        <w:footnoteReference w:id="46"/>
      </w:r>
    </w:p>
    <w:p>
      <w:pPr>
        <w:pStyle w:val="Heading1"/>
      </w:pPr>
      <w:r>
        <w:t xml:space="preserve">Bibliography</w:t>
      </w:r>
    </w:p>
    <w:p>
      <w:pPr>
        <w:pStyle w:val="FirstParagraph"/>
      </w:pPr>
      <w:r>
        <w:t xml:space="preserve">First reported and edited in Basak 1931–1932. Recorded in ARIE 1956–57, p. 27, № 15, appendix A and ARIE 1961–62, p. 38, № 22, appendix 1. Re-edited by Arlo Griffiths, using photos furnished by Ryosuke Furui. The text has been encoded by Amandine Wattelier-Bricout using a digital edition created by Dániel Balogh for the Siddham project as starting point. Since some readings differ from this previous digital edition, they are reported in the apparatus. Some notes in the translation has been added by Amandine Wattelier-Bricout.</w:t>
      </w:r>
    </w:p>
    <w:p>
      <w:pPr>
        <w:pStyle w:val="Heading2"/>
      </w:pPr>
      <w:r>
        <w:t xml:space="preserve">Primary</w:t>
      </w:r>
    </w:p>
    <w:p>
      <w:pPr>
        <w:pStyle w:val="FirstParagraph"/>
      </w:pPr>
      <w:r>
        <w:rPr>
          <w:b/>
          <w:bCs/>
        </w:rPr>
        <w:t xml:space="preserve">[RB]</w:t>
      </w:r>
      <w:r>
        <w:t xml:space="preserve"> </w:t>
      </w:r>
      <w:r>
        <w:t xml:space="preserve">Basak, Radhagovinda. 1931–1932. “Baigram copper-plate inscription of the [Gupta-]year 128.” EI 21, pp. 78–83.</w:t>
      </w:r>
    </w:p>
    <w:p>
      <w:pPr>
        <w:pStyle w:val="BodyText"/>
      </w:pPr>
      <w:r>
        <w:rPr>
          <w:b/>
          <w:bCs/>
        </w:rPr>
        <w:t xml:space="preserve">[S]</w:t>
      </w:r>
      <w:r>
        <w:t xml:space="preserve"> </w:t>
      </w:r>
      <w:r>
        <w:t xml:space="preserve">Sircar, Dines Chandra. 1965.</w:t>
      </w:r>
      <w:r>
        <w:t xml:space="preserve"> </w:t>
      </w:r>
      <w:r>
        <w:rPr>
          <w:i/>
          <w:iCs/>
        </w:rPr>
        <w:t xml:space="preserve">Select inscriptions bearing on Indian history and civilization. Volume I: from the sixth century B.C. to the sixth century A.D.</w:t>
      </w:r>
      <w:r>
        <w:t xml:space="preserve"> </w:t>
      </w:r>
      <w:r>
        <w:t xml:space="preserve">2nd edition revised and enlarged. Calcutta: University of Calcutta. Item III, entry no. 41, pages 355–9, figures pl. L–LI.</w:t>
      </w:r>
    </w:p>
    <w:p>
      <w:pPr>
        <w:pStyle w:val="BodyText"/>
      </w:pPr>
      <w:r>
        <w:rPr>
          <w:b/>
          <w:bCs/>
        </w:rPr>
        <w:t xml:space="preserve">[A]</w:t>
      </w:r>
      <w:r>
        <w:t xml:space="preserve"> </w:t>
      </w:r>
      <w:r>
        <w:t xml:space="preserve">Agrawala, Prithvi Kumar. 1983.</w:t>
      </w:r>
      <w:r>
        <w:t xml:space="preserve"> </w:t>
      </w:r>
      <w:r>
        <w:rPr>
          <w:i/>
          <w:iCs/>
        </w:rPr>
        <w:t xml:space="preserve">Imperial Gupta Epigraphs (गुप्ताधिराजलेखमण्डल)</w:t>
      </w:r>
      <w:r>
        <w:t xml:space="preserve">. Ancient Indian Epigraphical Sources (प्रत्नाभिलेखसंहिता) 10, pt. 1 / 2. Varanasi: Books Asia, Distributed by Prithvi Prakashan. Entry 29.</w:t>
      </w:r>
    </w:p>
    <w:p>
      <w:pPr>
        <w:pStyle w:val="BodyText"/>
      </w:pPr>
      <w:r>
        <w:rPr>
          <w:b/>
          <w:bCs/>
        </w:rPr>
        <w:t xml:space="preserve">[G]</w:t>
      </w:r>
      <w:r>
        <w:t xml:space="preserve"> </w:t>
      </w:r>
      <w:r>
        <w:t xml:space="preserve">Goyal, Śrīrām. 1993.</w:t>
      </w:r>
      <w:r>
        <w:t xml:space="preserve"> </w:t>
      </w:r>
      <w:r>
        <w:rPr>
          <w:i/>
          <w:iCs/>
        </w:rPr>
        <w:t xml:space="preserve">गुप्तकालीन अभिलेख/Guptakālīna Abhilekha (Inscriptions of the Gupta Age)</w:t>
      </w:r>
      <w:r>
        <w:t xml:space="preserve">. Jodhpur: Kusumanjali Prakashan. Pages 183–8.</w:t>
      </w:r>
    </w:p>
    <w:p>
      <w:pPr>
        <w:pStyle w:val="BodyText"/>
      </w:pPr>
      <w:r>
        <w:rPr>
          <w:b/>
          <w:bCs/>
        </w:rPr>
        <w:t xml:space="preserve">[DB]</w:t>
      </w:r>
      <w:r>
        <w:t xml:space="preserve"> </w:t>
      </w:r>
      <w:r>
        <w:t xml:space="preserve">Balogh, Dániel. 2019. “Siddham Epigraphic Archive - Texts in EpiDoc [Data set].” Zenodo. DOI:</w:t>
      </w:r>
      <w:r>
        <w:t xml:space="preserve"> </w:t>
      </w:r>
      <w:hyperlink r:id="rId49">
        <w:r>
          <w:rPr>
            <w:rStyle w:val="Hyperlink"/>
          </w:rPr>
          <w:t xml:space="preserve">10.5281/zenodo.2574901</w:t>
        </w:r>
      </w:hyperlink>
      <w:r>
        <w:t xml:space="preserve">.</w:t>
      </w:r>
      <w:r>
        <w:t xml:space="preserve"> </w:t>
      </w:r>
      <w:hyperlink r:id="rId49">
        <w:r>
          <w:rPr>
            <w:rStyle w:val="Hyperlink"/>
          </w:rPr>
          <w:t xml:space="preserve">[URL]</w:t>
        </w:r>
      </w:hyperlink>
      <w:r>
        <w:t xml:space="preserve">. Item IN00061.</w:t>
      </w:r>
    </w:p>
    <w:p>
      <w:pPr>
        <w:pStyle w:val="Heading2"/>
      </w:pPr>
      <w:r>
        <w:t xml:space="preserve">Secondary</w:t>
      </w:r>
    </w:p>
    <w:p>
      <w:pPr>
        <w:pStyle w:val="FirstParagraph"/>
      </w:pPr>
      <w:r>
        <w:t xml:space="preserve">ARASI1937_01</w:t>
      </w:r>
    </w:p>
    <w:p>
      <w:pPr>
        <w:pStyle w:val="BodyText"/>
      </w:pPr>
      <w:r>
        <w:t xml:space="preserve">ARIE 1956–57.</w:t>
      </w:r>
      <w:r>
        <w:t xml:space="preserve"> </w:t>
      </w:r>
      <w:r>
        <w:rPr>
          <w:i/>
          <w:iCs/>
        </w:rPr>
        <w:t xml:space="preserve">Annual report on Indian epigraphy for 1956-57</w:t>
      </w:r>
      <w:r>
        <w:t xml:space="preserve">. Edited by B.C. Chandra. New Delhi: Manager of Publications (Department of Archaeology), 1957. Appendix A, item 15, page 27.</w:t>
      </w:r>
    </w:p>
    <w:p>
      <w:pPr>
        <w:pStyle w:val="BodyText"/>
      </w:pPr>
      <w:r>
        <w:t xml:space="preserve">ARIE 1961–62.</w:t>
      </w:r>
      <w:r>
        <w:t xml:space="preserve"> </w:t>
      </w:r>
      <w:r>
        <w:rPr>
          <w:i/>
          <w:iCs/>
        </w:rPr>
        <w:t xml:space="preserve">Annual report on Indian epigraphy for 1961-62</w:t>
      </w:r>
      <w:r>
        <w:t xml:space="preserve">. Edited by H. K. Narasimhaswami &amp; G. S. Gai. Ootacamund, 1966. Appendix A, item 22, page 38.</w:t>
      </w:r>
    </w:p>
    <w:p>
      <w:pPr>
        <w:pStyle w:val="BodyText"/>
      </w:pPr>
      <w:r>
        <w:t xml:space="preserve">Bhandarkar, Devadatta Ramakrishna. 1927–1936.</w:t>
      </w:r>
      <w:r>
        <w:t xml:space="preserve"> </w:t>
      </w:r>
      <w:r>
        <w:rPr>
          <w:i/>
          <w:iCs/>
        </w:rPr>
        <w:t xml:space="preserve">A list of the inscriptions of northern India in Brahmi and its derivative scripts, from about 200 A. C.: Appendix to Epigraphia Indica and record of the Archaeological Survey of India, volumes XIX to XXIII</w:t>
      </w:r>
      <w:r>
        <w:t xml:space="preserve">. Calcutta: Archaeological Survey of India.</w:t>
      </w:r>
      <w:r>
        <w:t xml:space="preserve"> </w:t>
      </w:r>
      <w:hyperlink r:id="rId50">
        <w:r>
          <w:rPr>
            <w:rStyle w:val="Hyperlink"/>
          </w:rPr>
          <w:t xml:space="preserve">[URL]</w:t>
        </w:r>
      </w:hyperlink>
      <w:r>
        <w:t xml:space="preserve">. Page 296, item no. 2114.</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See Sircar 1965, p. 356, n. 2 which identifies this with modern Panchbibi in Bogra District — a place I cannot identify. Perhaps it is the same as Panchanagar, substrict Kushmundi, dt. Dakshin Dinajpur, West Bengal, India, which seems a safe identification for Pañcanagarī.</w:t>
      </w:r>
    </w:p>
  </w:footnote>
  <w:footnote w:id="14">
    <w:p>
      <w:pPr>
        <w:pStyle w:val="FootnoteText"/>
      </w:pPr>
      <w:r>
        <w:rPr>
          <w:rStyle w:val="FootnoteReference"/>
        </w:rPr>
        <w:footnoteRef/>
      </w:r>
      <w:r>
        <w:t xml:space="preserve"> </w:t>
      </w:r>
      <w:r>
        <w:t xml:space="preserve">The expression</w:t>
      </w:r>
      <w:r>
        <w:t xml:space="preserve"> </w:t>
      </w:r>
      <w:r>
        <w:rPr>
          <w:i/>
          <w:iCs/>
        </w:rPr>
        <w:t xml:space="preserve">bhaṭṭāraka-pādānuddhyātaḥ</w:t>
      </w:r>
      <w:r>
        <w:t xml:space="preserve"> </w:t>
      </w:r>
      <w:r>
        <w:t xml:space="preserve">can also be found in</w:t>
      </w:r>
      <w:r>
        <w:t xml:space="preserve"> </w:t>
      </w:r>
      <w:hyperlink r:id="rId12">
        <w:r>
          <w:rPr>
            <w:rStyle w:val="Hyperlink"/>
          </w:rPr>
          <w:t xml:space="preserve">Raktamālā #1</w:t>
        </w:r>
      </w:hyperlink>
      <w:r>
        <w:t xml:space="preserve"> </w:t>
      </w:r>
      <w:r>
        <w:t xml:space="preserve">line 1 :</w:t>
      </w:r>
      <w:r>
        <w:t xml:space="preserve"> </w:t>
      </w:r>
      <w:r>
        <w:rPr>
          <w:i/>
          <w:iCs/>
        </w:rPr>
        <w:t xml:space="preserve">paramabhaṭṭāraka-pādānuddhyātaḥ kumārāmātya-yūthapatir</w:t>
      </w:r>
      <w:r>
        <w:t xml:space="preserve">.</w:t>
      </w:r>
    </w:p>
  </w:footnote>
  <w:footnote w:id="15">
    <w:p>
      <w:pPr>
        <w:pStyle w:val="FootnoteText"/>
      </w:pPr>
      <w:r>
        <w:rPr>
          <w:rStyle w:val="FootnoteReference"/>
        </w:rPr>
        <w:footnoteRef/>
      </w:r>
      <w:r>
        <w:t xml:space="preserve"> </w:t>
      </w:r>
      <w:r>
        <w:t xml:space="preserve">According to the table in</w:t>
      </w:r>
      <w:r>
        <w:t xml:space="preserve"> </w:t>
      </w:r>
      <w:hyperlink r:id="rId16">
        <w:r>
          <w:rPr>
            <w:rStyle w:val="Hyperlink"/>
          </w:rPr>
          <w:t xml:space="preserve">Willis 2005</w:t>
        </w:r>
      </w:hyperlink>
      <w:r>
        <w:t xml:space="preserve">, p. 135, Kumāragupta’s reign lasted till 477, after which date we enter Skandagupta’s reign.</w:t>
      </w:r>
    </w:p>
  </w:footnote>
  <w:footnote w:id="17">
    <w:p>
      <w:pPr>
        <w:pStyle w:val="FootnoteText"/>
      </w:pPr>
      <w:r>
        <w:rPr>
          <w:rStyle w:val="FootnoteReference"/>
        </w:rPr>
        <w:footnoteRef/>
      </w:r>
      <w:r>
        <w:t xml:space="preserve"> </w:t>
      </w:r>
      <w:r>
        <w:t xml:space="preserve">Vāyigrāma is also mentioned in</w:t>
      </w:r>
      <w:r>
        <w:t xml:space="preserve"> </w:t>
      </w:r>
      <w:hyperlink r:id="rId18">
        <w:r>
          <w:rPr>
            <w:rStyle w:val="Hyperlink"/>
          </w:rPr>
          <w:t xml:space="preserve">Damodarpur #3</w:t>
        </w:r>
      </w:hyperlink>
      <w:r>
        <w:t xml:space="preserve">, line 9.</w:t>
      </w:r>
    </w:p>
  </w:footnote>
  <w:footnote w:id="19">
    <w:p>
      <w:pPr>
        <w:pStyle w:val="FootnoteText"/>
      </w:pPr>
      <w:r>
        <w:rPr>
          <w:rStyle w:val="FootnoteReference"/>
        </w:rPr>
        <w:footnoteRef/>
      </w:r>
      <w:r>
        <w:t xml:space="preserve"> </w:t>
      </w:r>
      <w:r>
        <w:t xml:space="preserve">The expression</w:t>
      </w:r>
      <w:r>
        <w:t xml:space="preserve"> </w:t>
      </w:r>
      <w:r>
        <w:rPr>
          <w:i/>
          <w:iCs/>
        </w:rPr>
        <w:t xml:space="preserve">brāhmaṇottarān</w:t>
      </w:r>
      <w:r>
        <w:t xml:space="preserve"> </w:t>
      </w:r>
      <w:r>
        <w:t xml:space="preserve">occurs in several other plates:</w:t>
      </w:r>
      <w:r>
        <w:t xml:space="preserve"> </w:t>
      </w:r>
      <w:hyperlink r:id="rId12">
        <w:r>
          <w:rPr>
            <w:rStyle w:val="Hyperlink"/>
          </w:rPr>
          <w:t xml:space="preserve">Raktamālā Grant no. 1, year 159</w:t>
        </w:r>
      </w:hyperlink>
      <w:r>
        <w:t xml:space="preserve">, line 2;</w:t>
      </w:r>
      <w:r>
        <w:t xml:space="preserve"> </w:t>
      </w:r>
      <w:hyperlink r:id="rId20">
        <w:r>
          <w:rPr>
            <w:rStyle w:val="Hyperlink"/>
          </w:rPr>
          <w:t xml:space="preserve">A grant of land in the Tāvīra district</w:t>
        </w:r>
      </w:hyperlink>
      <w:r>
        <w:t xml:space="preserve">, line 6 ;</w:t>
      </w:r>
      <w:r>
        <w:t xml:space="preserve"> </w:t>
      </w:r>
      <w:hyperlink r:id="rId21">
        <w:r>
          <w:rPr>
            <w:rStyle w:val="Hyperlink"/>
          </w:rPr>
          <w:t xml:space="preserve">Paharpur Charter of the Time of Budhagupta</w:t>
        </w:r>
      </w:hyperlink>
      <w:r>
        <w:t xml:space="preserve">, line 3;</w:t>
      </w:r>
      <w:r>
        <w:t xml:space="preserve"> </w:t>
      </w:r>
      <w:hyperlink r:id="rId10">
        <w:r>
          <w:rPr>
            <w:rStyle w:val="Hyperlink"/>
          </w:rPr>
          <w:t xml:space="preserve">Nandapur Plate of 169 GE</w:t>
        </w:r>
      </w:hyperlink>
      <w:r>
        <w:t xml:space="preserve">, line 1 and</w:t>
      </w:r>
      <w:r>
        <w:t xml:space="preserve"> </w:t>
      </w:r>
      <w:hyperlink r:id="rId22">
        <w:r>
          <w:rPr>
            <w:rStyle w:val="Hyperlink"/>
          </w:rPr>
          <w:t xml:space="preserve">A second grant concerning the Raktamālā</w:t>
        </w:r>
      </w:hyperlink>
      <w:r>
        <w:t xml:space="preserve"> </w:t>
      </w:r>
      <w:r>
        <w:t xml:space="preserve">line 2. The translation suggested here corresponds to the specific meaning of the compound</w:t>
      </w:r>
      <w:r>
        <w:t xml:space="preserve"> </w:t>
      </w:r>
      <w:r>
        <w:rPr>
          <w:i/>
          <w:iCs/>
        </w:rPr>
        <w:t xml:space="preserve">brāhmaṇottara</w:t>
      </w:r>
      <w:r>
        <w:t xml:space="preserve">- reported by</w:t>
      </w:r>
      <w:r>
        <w:t xml:space="preserve"> </w:t>
      </w:r>
      <w:hyperlink r:id="rId23">
        <w:r>
          <w:rPr>
            <w:rStyle w:val="Hyperlink"/>
          </w:rPr>
          <w:t xml:space="preserve">Apte 1890</w:t>
        </w:r>
      </w:hyperlink>
      <w:r>
        <w:t xml:space="preserve">, p. 1174. If we only follow the meaning given by</w:t>
      </w:r>
      <w:r>
        <w:t xml:space="preserve"> </w:t>
      </w:r>
      <w:hyperlink r:id="rId23">
        <w:r>
          <w:rPr>
            <w:rStyle w:val="Hyperlink"/>
          </w:rPr>
          <w:t xml:space="preserve">Apte 1890</w:t>
        </w:r>
      </w:hyperlink>
      <w:r>
        <w:t xml:space="preserve">, № 8, p. 408 and</w:t>
      </w:r>
      <w:r>
        <w:t xml:space="preserve"> </w:t>
      </w:r>
      <w:hyperlink r:id="rId24">
        <w:r>
          <w:rPr>
            <w:rStyle w:val="Hyperlink"/>
          </w:rPr>
          <w:t xml:space="preserve">Monier-Williams 1899</w:t>
        </w:r>
      </w:hyperlink>
      <w:r>
        <w:t xml:space="preserve">, p. 178 for the word -</w:t>
      </w:r>
      <w:r>
        <w:rPr>
          <w:i/>
          <w:iCs/>
        </w:rPr>
        <w:t xml:space="preserve">uttara</w:t>
      </w:r>
      <w:r>
        <w:t xml:space="preserve"> </w:t>
      </w:r>
      <w:r>
        <w:rPr>
          <w:i/>
          <w:iCs/>
        </w:rPr>
        <w:t xml:space="preserve">in fine compositi</w:t>
      </w:r>
      <w:r>
        <w:t xml:space="preserve">, the translation would be “followed by Brahmins”.</w:t>
      </w:r>
    </w:p>
  </w:footnote>
  <w:footnote w:id="25">
    <w:p>
      <w:pPr>
        <w:pStyle w:val="FootnoteText"/>
      </w:pPr>
      <w:r>
        <w:rPr>
          <w:rStyle w:val="FootnoteReference"/>
        </w:rPr>
        <w:footnoteRef/>
      </w:r>
      <w:r>
        <w:t xml:space="preserve"> </w:t>
      </w:r>
      <w:r>
        <w:t xml:space="preserve">Presumably in Vāyigrāma.</w:t>
      </w:r>
    </w:p>
  </w:footnote>
  <w:footnote w:id="26">
    <w:p>
      <w:pPr>
        <w:pStyle w:val="FootnoteText"/>
      </w:pPr>
      <w:r>
        <w:rPr>
          <w:rStyle w:val="FootnoteReference"/>
        </w:rPr>
        <w:footnoteRef/>
      </w:r>
      <w:r>
        <w:t xml:space="preserve"> </w:t>
      </w:r>
      <w:r>
        <w:t xml:space="preserve">See Sircar 1965, p. 356, n. 9 for this interpretation of</w:t>
      </w:r>
      <w:r>
        <w:t xml:space="preserve"> </w:t>
      </w:r>
      <w:r>
        <w:rPr>
          <w:i/>
          <w:iCs/>
        </w:rPr>
        <w:t xml:space="preserve">ādya-stamba</w:t>
      </w:r>
      <w:r>
        <w:t xml:space="preserve">.</w:t>
      </w:r>
    </w:p>
  </w:footnote>
  <w:footnote w:id="27">
    <w:p>
      <w:pPr>
        <w:pStyle w:val="FootnoteText"/>
      </w:pPr>
      <w:r>
        <w:rPr>
          <w:rStyle w:val="FootnoteReference"/>
        </w:rPr>
        <w:footnoteRef/>
      </w:r>
      <w:r>
        <w:t xml:space="preserve"> </w:t>
      </w:r>
      <w:r>
        <w:rPr>
          <w:i/>
          <w:iCs/>
        </w:rPr>
        <w:t xml:space="preserve">āyīkr̥tya</w:t>
      </w:r>
      <w:r>
        <w:t xml:space="preserve"> </w:t>
      </w:r>
      <w:r>
        <w:t xml:space="preserve">is derived from</w:t>
      </w:r>
      <w:r>
        <w:t xml:space="preserve"> </w:t>
      </w:r>
      <w:r>
        <w:rPr>
          <w:i/>
          <w:iCs/>
        </w:rPr>
        <w:t xml:space="preserve">āya</w:t>
      </w:r>
      <w:r>
        <w:t xml:space="preserve"> </w:t>
      </w:r>
      <w:r>
        <w:t xml:space="preserve">in the sense of “income”, so “having made income from …”. This expression can be found in</w:t>
      </w:r>
      <w:r>
        <w:t xml:space="preserve"> </w:t>
      </w:r>
      <w:hyperlink r:id="rId28">
        <w:r>
          <w:rPr>
            <w:rStyle w:val="Hyperlink"/>
          </w:rPr>
          <w:t xml:space="preserve">Kalaikuri Copper-plate of Kumāragupta I</w:t>
        </w:r>
      </w:hyperlink>
      <w:r>
        <w:t xml:space="preserve"> </w:t>
      </w:r>
      <w:r>
        <w:t xml:space="preserve">(line 20), in</w:t>
      </w:r>
      <w:r>
        <w:t xml:space="preserve"> </w:t>
      </w:r>
      <w:hyperlink r:id="rId21">
        <w:r>
          <w:rPr>
            <w:rStyle w:val="Hyperlink"/>
          </w:rPr>
          <w:t xml:space="preserve">Paharpur plate</w:t>
        </w:r>
      </w:hyperlink>
      <w:r>
        <w:t xml:space="preserve"> </w:t>
      </w:r>
      <w:r>
        <w:t xml:space="preserve">(line 18) and in</w:t>
      </w:r>
      <w:r>
        <w:t xml:space="preserve"> </w:t>
      </w:r>
      <w:hyperlink r:id="rId18">
        <w:r>
          <w:rPr>
            <w:rStyle w:val="Hyperlink"/>
          </w:rPr>
          <w:t xml:space="preserve">Damodapur Plate #3</w:t>
        </w:r>
      </w:hyperlink>
      <w:r>
        <w:t xml:space="preserve"> </w:t>
      </w:r>
      <w:r>
        <w:t xml:space="preserve">(line 8).</w:t>
      </w:r>
    </w:p>
  </w:footnote>
  <w:footnote w:id="29">
    <w:p>
      <w:pPr>
        <w:pStyle w:val="FootnoteText"/>
      </w:pPr>
      <w:r>
        <w:rPr>
          <w:rStyle w:val="FootnoteReference"/>
        </w:rPr>
        <w:footnoteRef/>
      </w:r>
      <w:r>
        <w:t xml:space="preserve"> </w:t>
      </w:r>
      <w:r>
        <w:t xml:space="preserve">See</w:t>
      </w:r>
      <w:r>
        <w:t xml:space="preserve"> </w:t>
      </w:r>
      <w:hyperlink r:id="rId11">
        <w:r>
          <w:rPr>
            <w:rStyle w:val="Hyperlink"/>
          </w:rPr>
          <w:t xml:space="preserve">von Hinüber 2013</w:t>
        </w:r>
      </w:hyperlink>
      <w:r>
        <w:t xml:space="preserve">. Originally Buddhist terms used in Vaiṣṇava context! See also other trace of Prakrit as administrative language in</w:t>
      </w:r>
      <w:r>
        <w:t xml:space="preserve"> </w:t>
      </w:r>
      <w:r>
        <w:rPr>
          <w:i/>
          <w:iCs/>
        </w:rPr>
        <w:t xml:space="preserve">ninna</w:t>
      </w:r>
      <w:r>
        <w:t xml:space="preserve"> </w:t>
      </w:r>
      <w:r>
        <w:t xml:space="preserve">=</w:t>
      </w:r>
      <w:r>
        <w:t xml:space="preserve"> </w:t>
      </w:r>
      <w:r>
        <w:rPr>
          <w:i/>
          <w:iCs/>
        </w:rPr>
        <w:t xml:space="preserve">diṇṇa</w:t>
      </w:r>
      <w:r>
        <w:t xml:space="preserve"> </w:t>
      </w:r>
      <w:r>
        <w:t xml:space="preserve">l. 17. See also Sircar 1965, n. 2, p. 357.</w:t>
      </w:r>
    </w:p>
  </w:footnote>
  <w:footnote w:id="30">
    <w:p>
      <w:pPr>
        <w:pStyle w:val="FootnoteText"/>
      </w:pPr>
      <w:r>
        <w:rPr>
          <w:rStyle w:val="FootnoteReference"/>
        </w:rPr>
        <w:footnoteRef/>
      </w:r>
      <w:r>
        <w:t xml:space="preserve"> </w:t>
      </w:r>
      <w:r>
        <w:t xml:space="preserve">Note on</w:t>
      </w:r>
      <w:r>
        <w:t xml:space="preserve"> </w:t>
      </w:r>
      <w:r>
        <w:rPr>
          <w:i/>
          <w:iCs/>
        </w:rPr>
        <w:t xml:space="preserve">talavāṭaka</w:t>
      </w:r>
      <w:r>
        <w:t xml:space="preserve">: see</w:t>
      </w:r>
      <w:r>
        <w:t xml:space="preserve"> </w:t>
      </w:r>
      <w:hyperlink r:id="rId31">
        <w:r>
          <w:rPr>
            <w:rStyle w:val="Hyperlink"/>
          </w:rPr>
          <w:t xml:space="preserve">Sircar 1966</w:t>
        </w:r>
      </w:hyperlink>
      <w:r>
        <w:t xml:space="preserve">, pp. 334–335.</w:t>
      </w:r>
    </w:p>
  </w:footnote>
  <w:footnote w:id="32">
    <w:p>
      <w:pPr>
        <w:pStyle w:val="FootnoteText"/>
      </w:pPr>
      <w:r>
        <w:rPr>
          <w:rStyle w:val="FootnoteReference"/>
        </w:rPr>
        <w:footnoteRef/>
      </w:r>
      <w:r>
        <w:t xml:space="preserve"> </w:t>
      </w:r>
      <w:r>
        <w:t xml:space="preserve">Indeed, the king usually takes a sixth of each transaction as it is mentionned in</w:t>
      </w:r>
      <w:r>
        <w:t xml:space="preserve"> </w:t>
      </w:r>
      <w:r>
        <w:rPr>
          <w:i/>
          <w:iCs/>
        </w:rPr>
        <w:t xml:space="preserve">Manusmr̥ti</w:t>
      </w:r>
      <w:r>
        <w:t xml:space="preserve"> </w:t>
      </w:r>
      <w:r>
        <w:t xml:space="preserve">7.131-132. Here, as the land yields no tax, the benefit for the king is only meritorious and due to his act of protection. This understanding is also confirmed by the final stanzas which emphasises the act of protection and by the verse I.331 from Yājñavalkya’s</w:t>
      </w:r>
      <w:r>
        <w:t xml:space="preserve"> </w:t>
      </w:r>
      <w:r>
        <w:rPr>
          <w:i/>
          <w:iCs/>
        </w:rPr>
        <w:t xml:space="preserve">Dharmaśāstra</w:t>
      </w:r>
      <w:r>
        <w:t xml:space="preserve">: “</w:t>
      </w:r>
      <w:r>
        <w:rPr>
          <w:i/>
          <w:iCs/>
        </w:rPr>
        <w:t xml:space="preserve">puṇyātṣaḍbhāgamādatte nyāyena paripālayan</w:t>
      </w:r>
      <w:r>
        <w:t xml:space="preserve"> </w:t>
      </w:r>
      <w:r>
        <w:t xml:space="preserve">|</w:t>
      </w:r>
      <w:r>
        <w:t xml:space="preserve"> </w:t>
      </w:r>
      <w:r>
        <w:rPr>
          <w:i/>
          <w:iCs/>
        </w:rPr>
        <w:t xml:space="preserve">sarvadānādhikaṁ yasmānnyāyena paripālanam</w:t>
      </w:r>
      <w:r>
        <w:t xml:space="preserve"> </w:t>
      </w:r>
      <w:r>
        <w:t xml:space="preserve">∥” “He (the king) takes a sixth portion of the merits by providing protection justly, because providing protection justly greater than all gifts.” (Translation</w:t>
      </w:r>
      <w:r>
        <w:t xml:space="preserve"> </w:t>
      </w:r>
      <w:hyperlink r:id="rId33">
        <w:r>
          <w:rPr>
            <w:rStyle w:val="Hyperlink"/>
          </w:rPr>
          <w:t xml:space="preserve">Olivelle 2019</w:t>
        </w:r>
      </w:hyperlink>
      <w:r>
        <w:t xml:space="preserve">, p. 107).</w:t>
      </w:r>
    </w:p>
  </w:footnote>
  <w:footnote w:id="34">
    <w:p>
      <w:pPr>
        <w:pStyle w:val="FootnoteText"/>
      </w:pPr>
      <w:r>
        <w:rPr>
          <w:rStyle w:val="FootnoteReference"/>
        </w:rPr>
        <w:footnoteRef/>
      </w:r>
      <w:r>
        <w:t xml:space="preserve"> </w:t>
      </w:r>
      <w:r>
        <w:t xml:space="preserve">The place name Śrī-Gohālī can also be found in a</w:t>
      </w:r>
      <w:r>
        <w:t xml:space="preserve"> </w:t>
      </w:r>
      <w:hyperlink r:id="rId35">
        <w:r>
          <w:rPr>
            <w:rStyle w:val="Hyperlink"/>
          </w:rPr>
          <w:t xml:space="preserve">A fragment of a second plate from Baigram</w:t>
        </w:r>
      </w:hyperlink>
      <w:r>
        <w:t xml:space="preserve"> </w:t>
      </w:r>
      <w:r>
        <w:t xml:space="preserve">and in</w:t>
      </w:r>
      <w:r>
        <w:t xml:space="preserve"> </w:t>
      </w:r>
      <w:hyperlink r:id="rId36">
        <w:r>
          <w:rPr>
            <w:rStyle w:val="Hyperlink"/>
          </w:rPr>
          <w:t xml:space="preserve">A grant of land to monasteries at Śiṣīpuñja, Madhyamasr̥gālikā and Grāmakūṭagohālī</w:t>
        </w:r>
      </w:hyperlink>
      <w:r>
        <w:t xml:space="preserve">.</w:t>
      </w:r>
    </w:p>
  </w:footnote>
  <w:footnote w:id="37">
    <w:p>
      <w:pPr>
        <w:pStyle w:val="FootnoteText"/>
      </w:pPr>
      <w:r>
        <w:rPr>
          <w:rStyle w:val="FootnoteReference"/>
        </w:rPr>
        <w:footnoteRef/>
      </w:r>
      <w:r>
        <w:t xml:space="preserve"> </w:t>
      </w:r>
      <w:r>
        <w:t xml:space="preserve">A note is necessary on this translation. Predecessors have assumed Darvīkarma was a proper noun, and that it designated the person after whom the standard had taken its name.</w:t>
      </w:r>
    </w:p>
  </w:footnote>
  <w:footnote w:id="38">
    <w:p>
      <w:pPr>
        <w:pStyle w:val="FootnoteText"/>
      </w:pPr>
      <w:r>
        <w:rPr>
          <w:rStyle w:val="FootnoteReference"/>
        </w:rPr>
        <w:footnoteRef/>
      </w:r>
      <w:r>
        <w:t xml:space="preserve"> </w:t>
      </w:r>
      <w:r>
        <w:t xml:space="preserve">This interpretation is based on the Smr̥ti passages cited in the commentary. Others sources give details about the manner to mark boundaries. For example,</w:t>
      </w:r>
      <w:r>
        <w:t xml:space="preserve"> </w:t>
      </w:r>
      <w:r>
        <w:rPr>
          <w:i/>
          <w:iCs/>
        </w:rPr>
        <w:t xml:space="preserve">Manusmr̥ti</w:t>
      </w:r>
      <w:r>
        <w:t xml:space="preserve"> </w:t>
      </w:r>
      <w:r>
        <w:t xml:space="preserve">8.249-50 suggests demarcating boundaries by several objects (translation</w:t>
      </w:r>
      <w:r>
        <w:t xml:space="preserve"> </w:t>
      </w:r>
      <w:hyperlink r:id="rId39">
        <w:r>
          <w:rPr>
            <w:rStyle w:val="Hyperlink"/>
          </w:rPr>
          <w:t xml:space="preserve">Olivelle 2005</w:t>
        </w:r>
      </w:hyperlink>
      <w:r>
        <w:t xml:space="preserve">) : “</w:t>
      </w:r>
      <w:r>
        <w:rPr>
          <w:i/>
          <w:iCs/>
        </w:rPr>
        <w:t xml:space="preserve">upachannāni cānyāni sīmāliṅgāni kārayet</w:t>
      </w:r>
      <w:r>
        <w:t xml:space="preserve"> </w:t>
      </w:r>
      <w:r>
        <w:t xml:space="preserve">|</w:t>
      </w:r>
      <w:r>
        <w:t xml:space="preserve"> </w:t>
      </w:r>
      <w:r>
        <w:rPr>
          <w:i/>
          <w:iCs/>
        </w:rPr>
        <w:t xml:space="preserve">sīmājñāne nr̥ṇāṁ vīkṣya nityaṁ loke viparyayam</w:t>
      </w:r>
      <w:r>
        <w:t xml:space="preserve"> </w:t>
      </w:r>
      <w:r>
        <w:t xml:space="preserve">∥” “</w:t>
      </w:r>
      <w:r>
        <w:rPr>
          <w:i/>
          <w:iCs/>
        </w:rPr>
        <w:t xml:space="preserve">aśmano ’sthīni govālāṁs tuṣān bhasma kapālikāḥ</w:t>
      </w:r>
      <w:r>
        <w:t xml:space="preserve"> </w:t>
      </w:r>
      <w:r>
        <w:t xml:space="preserve">|</w:t>
      </w:r>
      <w:r>
        <w:t xml:space="preserve"> </w:t>
      </w:r>
      <w:r>
        <w:rPr>
          <w:i/>
          <w:iCs/>
        </w:rPr>
        <w:t xml:space="preserve">karīṣam iṣṭakāṅgārāṁś śarkarā vālukās tathā</w:t>
      </w:r>
      <w:r>
        <w:t xml:space="preserve"> </w:t>
      </w:r>
      <w:r>
        <w:t xml:space="preserve">∥” “Seeing that in the world controversies constantly arise due to people’s ignorance of boundaries, he should also have other concealed boundary markers ensconced stones, bones, cow’s hair, chaff, ashes, potsherds, dried cow dung, bricks, coal (</w:t>
      </w:r>
      <w:r>
        <w:rPr>
          <w:i/>
          <w:iCs/>
        </w:rPr>
        <w:t xml:space="preserve">aṅgāra</w:t>
      </w:r>
      <w:r>
        <w:t xml:space="preserve">), pebbles, and sand.”</w:t>
      </w:r>
    </w:p>
    <w:p>
      <w:pPr>
        <w:pStyle w:val="FootnoteText"/>
      </w:pPr>
      <w:r>
        <w:t xml:space="preserve">Yājñavalkya’s</w:t>
      </w:r>
      <w:r>
        <w:t xml:space="preserve"> </w:t>
      </w:r>
      <w:r>
        <w:rPr>
          <w:i/>
          <w:iCs/>
        </w:rPr>
        <w:t xml:space="preserve">Dharmaśāstra</w:t>
      </w:r>
      <w:r>
        <w:t xml:space="preserve"> </w:t>
      </w:r>
      <w:r>
        <w:t xml:space="preserve">2.154-5 gives also a list of materials used to mark boundaries (translation</w:t>
      </w:r>
      <w:r>
        <w:t xml:space="preserve"> </w:t>
      </w:r>
      <w:hyperlink r:id="rId33">
        <w:r>
          <w:rPr>
            <w:rStyle w:val="Hyperlink"/>
          </w:rPr>
          <w:t xml:space="preserve">Olivelle 2019</w:t>
        </w:r>
      </w:hyperlink>
      <w:r>
        <w:t xml:space="preserve">):</w:t>
      </w:r>
    </w:p>
    <w:p>
      <w:pPr>
        <w:pStyle w:val="FootnoteText"/>
      </w:pPr>
      <w:r>
        <w:t xml:space="preserve">“</w:t>
      </w:r>
      <w:r>
        <w:rPr>
          <w:i/>
          <w:iCs/>
        </w:rPr>
        <w:t xml:space="preserve">sīmno vivāde kṣetrasya sāmantāḥ sthavirā gaṇāḥ</w:t>
      </w:r>
      <w:r>
        <w:t xml:space="preserve"> </w:t>
      </w:r>
      <w:r>
        <w:t xml:space="preserve">|</w:t>
      </w:r>
      <w:r>
        <w:t xml:space="preserve"> </w:t>
      </w:r>
      <w:r>
        <w:rPr>
          <w:i/>
          <w:iCs/>
        </w:rPr>
        <w:t xml:space="preserve">gopāḥ sīmnaḥ kr̥śāno’nye sarve ca vanagocarāḥ</w:t>
      </w:r>
      <w:r>
        <w:t xml:space="preserve"> </w:t>
      </w:r>
      <w:r>
        <w:t xml:space="preserve">∥” “</w:t>
      </w:r>
      <w:r>
        <w:rPr>
          <w:i/>
          <w:iCs/>
        </w:rPr>
        <w:t xml:space="preserve">nayeyur ete sīmāntaṁ sthalāṅgāratuṣadrumaiḥ</w:t>
      </w:r>
      <w:r>
        <w:t xml:space="preserve"> </w:t>
      </w:r>
      <w:r>
        <w:t xml:space="preserve">|</w:t>
      </w:r>
      <w:r>
        <w:t xml:space="preserve"> </w:t>
      </w:r>
      <w:r>
        <w:rPr>
          <w:i/>
          <w:iCs/>
        </w:rPr>
        <w:t xml:space="preserve">setuvalmīkanimnāsthicaityādyair upalakṣitam</w:t>
      </w:r>
      <w:r>
        <w:t xml:space="preserve"> </w:t>
      </w:r>
      <w:r>
        <w:t xml:space="preserve">∥” “When there is a dispute regarding a boundary of a field, neighbours, elderly people, persons from an association, herdmen, others famers near the boundary, and all men roaming in the forest should ascertain the boundary revealed by mounds (</w:t>
      </w:r>
      <w:r>
        <w:rPr>
          <w:i/>
          <w:iCs/>
        </w:rPr>
        <w:t xml:space="preserve">sthala</w:t>
      </w:r>
      <w:r>
        <w:t xml:space="preserve">), charcoal (</w:t>
      </w:r>
      <w:r>
        <w:rPr>
          <w:i/>
          <w:iCs/>
        </w:rPr>
        <w:t xml:space="preserve">aṅgāra</w:t>
      </w:r>
      <w:r>
        <w:t xml:space="preserve">), chaff (</w:t>
      </w:r>
      <w:r>
        <w:rPr>
          <w:i/>
          <w:iCs/>
        </w:rPr>
        <w:t xml:space="preserve">tuṣa</w:t>
      </w:r>
      <w:r>
        <w:t xml:space="preserve">), and trees, and by dikes, anthills, trenches, bones, shrines, and the like.”. See also Sircar 1965, n. 7, p. 358</w:t>
      </w:r>
    </w:p>
  </w:footnote>
  <w:footnote w:id="40">
    <w:p>
      <w:pPr>
        <w:pStyle w:val="FootnoteText"/>
      </w:pPr>
      <w:r>
        <w:rPr>
          <w:rStyle w:val="FootnoteReference"/>
        </w:rPr>
        <w:footnoteRef/>
      </w:r>
      <w:r>
        <w:t xml:space="preserve"> </w:t>
      </w:r>
      <w:r>
        <w:t xml:space="preserve">This verse corresponds to the verse numbered 132 among the Stanzas on Bhūmidāna listed by Sircar (see</w:t>
      </w:r>
      <w:r>
        <w:t xml:space="preserve"> </w:t>
      </w:r>
      <w:hyperlink r:id="rId41">
        <w:r>
          <w:rPr>
            <w:rStyle w:val="Hyperlink"/>
          </w:rPr>
          <w:t xml:space="preserve">Sircar 1965</w:t>
        </w:r>
      </w:hyperlink>
      <w:r>
        <w:t xml:space="preserve">, appendix II, pp. 170–200).</w:t>
      </w:r>
    </w:p>
  </w:footnote>
  <w:footnote w:id="42">
    <w:p>
      <w:pPr>
        <w:pStyle w:val="FootnoteText"/>
      </w:pPr>
      <w:r>
        <w:rPr>
          <w:rStyle w:val="FootnoteReference"/>
        </w:rPr>
        <w:footnoteRef/>
      </w:r>
      <w:r>
        <w:t xml:space="preserve"> </w:t>
      </w:r>
      <w:r>
        <w:t xml:space="preserve">This verse corresponds to the verse numbered 123 among the Stanzas on Bhūmidāna listed by Sircar (see</w:t>
      </w:r>
      <w:r>
        <w:t xml:space="preserve"> </w:t>
      </w:r>
      <w:hyperlink r:id="rId41">
        <w:r>
          <w:rPr>
            <w:rStyle w:val="Hyperlink"/>
          </w:rPr>
          <w:t xml:space="preserve">Sircar 1965</w:t>
        </w:r>
      </w:hyperlink>
      <w:r>
        <w:t xml:space="preserve">, appendix II, pp. 170–200).</w:t>
      </w:r>
    </w:p>
  </w:footnote>
  <w:footnote w:id="43">
    <w:p>
      <w:pPr>
        <w:pStyle w:val="FootnoteText"/>
      </w:pPr>
      <w:r>
        <w:rPr>
          <w:rStyle w:val="FootnoteReference"/>
        </w:rPr>
        <w:footnoteRef/>
      </w:r>
      <w:r>
        <w:t xml:space="preserve"> </w:t>
      </w:r>
      <w:r>
        <w:t xml:space="preserve">This verse corresponds to the verse numbered 131 among the Stanzas on Bhūmidāna listed by Sircar (see</w:t>
      </w:r>
      <w:r>
        <w:t xml:space="preserve"> </w:t>
      </w:r>
      <w:hyperlink r:id="rId41">
        <w:r>
          <w:rPr>
            <w:rStyle w:val="Hyperlink"/>
          </w:rPr>
          <w:t xml:space="preserve">Sircar 1965</w:t>
        </w:r>
      </w:hyperlink>
      <w:r>
        <w:t xml:space="preserve">, appendix II, pp. 170–200), but shows a different reading of its first</w:t>
      </w:r>
      <w:r>
        <w:t xml:space="preserve"> </w:t>
      </w:r>
      <w:r>
        <w:rPr>
          <w:i/>
          <w:iCs/>
        </w:rPr>
        <w:t xml:space="preserve">pāda</w:t>
      </w:r>
      <w:r>
        <w:t xml:space="preserve">.</w:t>
      </w:r>
    </w:p>
  </w:footnote>
  <w:footnote w:id="46">
    <w:p>
      <w:pPr>
        <w:pStyle w:val="FootnoteText"/>
      </w:pPr>
      <w:r>
        <w:rPr>
          <w:rStyle w:val="FootnoteReference"/>
        </w:rPr>
        <w:footnoteRef/>
      </w:r>
      <w:r>
        <w:t xml:space="preserve"> </w:t>
      </w:r>
      <w:r>
        <w:t xml:space="preserve">These translated stanzas seem to correspond to the following in the</w:t>
      </w:r>
      <w:r>
        <w:t xml:space="preserve"> </w:t>
      </w:r>
      <w:r>
        <w:rPr>
          <w:i/>
          <w:iCs/>
        </w:rPr>
        <w:t xml:space="preserve">Br̥haspatismr̥ti</w:t>
      </w:r>
      <w:r>
        <w:t xml:space="preserve"> </w:t>
      </w:r>
      <w:r>
        <w:t xml:space="preserve">as reconstructed by</w:t>
      </w:r>
      <w:r>
        <w:t xml:space="preserve"> </w:t>
      </w:r>
      <w:hyperlink r:id="rId47">
        <w:r>
          <w:rPr>
            <w:rStyle w:val="Hyperlink"/>
          </w:rPr>
          <w:t xml:space="preserve">Aiyangar 1941</w:t>
        </w:r>
      </w:hyperlink>
      <w:r>
        <w:t xml:space="preserve">,</w:t>
      </w:r>
      <w:r>
        <w:t xml:space="preserve"> </w:t>
      </w:r>
      <w:r>
        <w:rPr>
          <w:i/>
          <w:iCs/>
        </w:rPr>
        <w:t xml:space="preserve">Vyavahārakāṇḍa</w:t>
      </w:r>
      <w:r>
        <w:t xml:space="preserve">, chapter 19, pp. 159–162:</w:t>
      </w:r>
    </w:p>
    <w:p>
      <w:pPr>
        <w:pStyle w:val="FootnoteText"/>
      </w:pPr>
      <w:r>
        <w:rPr>
          <w:i/>
          <w:iCs/>
        </w:rPr>
        <w:t xml:space="preserve">krayavikrayānuśaye vidhir eṣa pradarśitaḥ</w:t>
      </w:r>
      <w:r>
        <w:t xml:space="preserve"> </w:t>
      </w:r>
      <w:r>
        <w:t xml:space="preserve">|</w:t>
      </w:r>
      <w:r>
        <w:t xml:space="preserve"> </w:t>
      </w:r>
      <w:r>
        <w:rPr>
          <w:i/>
          <w:iCs/>
        </w:rPr>
        <w:t xml:space="preserve">grāmakṣetragr̥hādīnāṁ sīmāvādaṁ nibodhata</w:t>
      </w:r>
      <w:r>
        <w:t xml:space="preserve"> </w:t>
      </w:r>
      <w:r>
        <w:t xml:space="preserve">|| 1 ||</w:t>
      </w:r>
    </w:p>
    <w:p>
      <w:pPr>
        <w:pStyle w:val="FootnoteText"/>
      </w:pPr>
      <w:r>
        <w:rPr>
          <w:i/>
          <w:iCs/>
        </w:rPr>
        <w:t xml:space="preserve">niveśakāle kartavyaḥ sīmābandhaviniścayaḥ</w:t>
      </w:r>
      <w:r>
        <w:t xml:space="preserve"> </w:t>
      </w:r>
      <w:r>
        <w:t xml:space="preserve">|</w:t>
      </w:r>
      <w:r>
        <w:t xml:space="preserve"> </w:t>
      </w:r>
      <w:r>
        <w:rPr>
          <w:i/>
          <w:iCs/>
        </w:rPr>
        <w:t xml:space="preserve">prakāśopāṁśucihnaiś ca lakṣitaḥ saṁśayāpahaḥ</w:t>
      </w:r>
      <w:r>
        <w:t xml:space="preserve"> </w:t>
      </w:r>
      <w:r>
        <w:t xml:space="preserve">|| 7 ||</w:t>
      </w:r>
    </w:p>
    <w:p>
      <w:pPr>
        <w:pStyle w:val="FootnoteText"/>
      </w:pPr>
      <w:r>
        <w:rPr>
          <w:i/>
          <w:iCs/>
        </w:rPr>
        <w:t xml:space="preserve">vāpīkūpataḍāgāni caityārāmasurālayāḥ</w:t>
      </w:r>
      <w:r>
        <w:t xml:space="preserve"> </w:t>
      </w:r>
      <w:r>
        <w:t xml:space="preserve">|| 8cd ||</w:t>
      </w:r>
    </w:p>
    <w:p>
      <w:pPr>
        <w:pStyle w:val="FootnoteText"/>
      </w:pPr>
      <w:r>
        <w:rPr>
          <w:i/>
          <w:iCs/>
        </w:rPr>
        <w:t xml:space="preserve">sthalanimnanadīsrotaḥ śaragulmanagādayaḥ</w:t>
      </w:r>
      <w:r>
        <w:t xml:space="preserve"> </w:t>
      </w:r>
      <w:r>
        <w:t xml:space="preserve">|</w:t>
      </w:r>
      <w:r>
        <w:t xml:space="preserve"> </w:t>
      </w:r>
      <w:r>
        <w:rPr>
          <w:i/>
          <w:iCs/>
        </w:rPr>
        <w:t xml:space="preserve">prakāśacihnāny etāni sīmāyāṁ kārayet sadā</w:t>
      </w:r>
      <w:r>
        <w:t xml:space="preserve"> </w:t>
      </w:r>
      <w:r>
        <w:t xml:space="preserve">|| 9 ||</w:t>
      </w:r>
    </w:p>
    <w:p>
      <w:pPr>
        <w:pStyle w:val="FootnoteText"/>
      </w:pPr>
      <w:r>
        <w:rPr>
          <w:i/>
          <w:iCs/>
        </w:rPr>
        <w:t xml:space="preserve">nihitāni tathānyāni yāni bhūmir na bhakṣayet</w:t>
      </w:r>
      <w:r>
        <w:t xml:space="preserve"> </w:t>
      </w:r>
      <w:r>
        <w:t xml:space="preserve">| 17ab |</w:t>
      </w:r>
    </w:p>
    <w:p>
      <w:pPr>
        <w:pStyle w:val="FootnoteText"/>
      </w:pPr>
      <w:r>
        <w:rPr>
          <w:i/>
          <w:iCs/>
        </w:rPr>
        <w:t xml:space="preserve">karīṣāsthituṣāṅgāraśarkarāśmakapālikāḥ</w:t>
      </w:r>
      <w:r>
        <w:t xml:space="preserve"> </w:t>
      </w:r>
      <w:r>
        <w:t xml:space="preserve">|| 20ab ||</w:t>
      </w:r>
      <w:r>
        <w:t xml:space="preserve"> </w:t>
      </w:r>
      <w:r>
        <w:rPr>
          <w:i/>
          <w:iCs/>
        </w:rPr>
        <w:t xml:space="preserve">sikateṣṭakagobālakārpāsāsthīni bhasma ca</w:t>
      </w:r>
      <w:r>
        <w:t xml:space="preserve"> </w:t>
      </w:r>
      <w:r>
        <w:t xml:space="preserve">|| 20cd ||</w:t>
      </w:r>
    </w:p>
    <w:p>
      <w:pPr>
        <w:pStyle w:val="FootnoteText"/>
      </w:pPr>
      <w:r>
        <w:rPr>
          <w:i/>
          <w:iCs/>
        </w:rPr>
        <w:t xml:space="preserve">prakṣipya kumbheṣv etāni sīmānteṣu nidhāpayet</w:t>
      </w:r>
      <w:r>
        <w:t xml:space="preserve"> </w:t>
      </w:r>
      <w:r>
        <w:t xml:space="preserve">| 21ab |</w:t>
      </w:r>
    </w:p>
    <w:p>
      <w:pPr>
        <w:pStyle w:val="FootnoteText"/>
      </w:pPr>
      <w:r>
        <w:t xml:space="preserve">On these stanzas, see</w:t>
      </w:r>
      <w:r>
        <w:t xml:space="preserve"> </w:t>
      </w:r>
      <w:hyperlink r:id="rId48">
        <w:r>
          <w:rPr>
            <w:rStyle w:val="Hyperlink"/>
          </w:rPr>
          <w:t xml:space="preserve">Renou 1963</w:t>
        </w:r>
      </w:hyperlink>
      <w:r>
        <w:t xml:space="preserve">, pp. 99–100.</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num>
  <w:num w:numId="2">
    <w:abstractNumId w:val="2"/>
  </w: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47" Target="https://dharmalekha.info/bibliography/entry/Aiyangar1941_01" TargetMode="External" /><Relationship Type="http://schemas.openxmlformats.org/officeDocument/2006/relationships/hyperlink" Id="rId23" Target="https://dharmalekha.info/bibliography/entry/Apte1890_01" TargetMode="External" /><Relationship Type="http://schemas.openxmlformats.org/officeDocument/2006/relationships/hyperlink" Id="rId11" Target="https://dharmalekha.info/bibliography/entry/Hinueber2013_01" TargetMode="External" /><Relationship Type="http://schemas.openxmlformats.org/officeDocument/2006/relationships/hyperlink" Id="rId45" Target="https://dharmalekha.info/bibliography/entry/Jolly1889_01" TargetMode="External" /><Relationship Type="http://schemas.openxmlformats.org/officeDocument/2006/relationships/hyperlink" Id="rId44" Target="https://dharmalekha.info/bibliography/entry/Lariviere1989_01" TargetMode="External" /><Relationship Type="http://schemas.openxmlformats.org/officeDocument/2006/relationships/hyperlink" Id="rId24" Target="https://dharmalekha.info/bibliography/entry/MonierWilliams1899_01" TargetMode="External" /><Relationship Type="http://schemas.openxmlformats.org/officeDocument/2006/relationships/hyperlink" Id="rId39" Target="https://dharmalekha.info/bibliography/entry/Olivelle2005_01" TargetMode="External" /><Relationship Type="http://schemas.openxmlformats.org/officeDocument/2006/relationships/hyperlink" Id="rId33" Target="https://dharmalekha.info/bibliography/entry/Olivelle2019_01" TargetMode="External" /><Relationship Type="http://schemas.openxmlformats.org/officeDocument/2006/relationships/hyperlink" Id="rId48" Target="https://dharmalekha.info/bibliography/entry/Renou1963_01" TargetMode="External" /><Relationship Type="http://schemas.openxmlformats.org/officeDocument/2006/relationships/hyperlink" Id="rId41" Target="https://dharmalekha.info/bibliography/entry/Sircar1965_03" TargetMode="External" /><Relationship Type="http://schemas.openxmlformats.org/officeDocument/2006/relationships/hyperlink" Id="rId31" Target="https://dharmalekha.info/bibliography/entry/Sircar1966_01" TargetMode="External" /><Relationship Type="http://schemas.openxmlformats.org/officeDocument/2006/relationships/hyperlink" Id="rId16" Target="https://dharmalekha.info/bibliography/entry/Willis2005_01" TargetMode="External" /><Relationship Type="http://schemas.openxmlformats.org/officeDocument/2006/relationships/hyperlink" Id="rId9" Target="https://dharmalekha.info/prosody#prosody-169" TargetMode="External" /><Relationship Type="http://schemas.openxmlformats.org/officeDocument/2006/relationships/hyperlink" Id="rId18" Target="https://dharmalekha.info/texts/INSBengalCharters00032" TargetMode="External" /><Relationship Type="http://schemas.openxmlformats.org/officeDocument/2006/relationships/hyperlink" Id="rId28" Target="https://dharmalekha.info/texts/INSBengalCharters00033" TargetMode="External" /><Relationship Type="http://schemas.openxmlformats.org/officeDocument/2006/relationships/hyperlink" Id="rId12" Target="https://dharmalekha.info/texts/INSBengalCharters00039" TargetMode="External" /><Relationship Type="http://schemas.openxmlformats.org/officeDocument/2006/relationships/hyperlink" Id="rId35" Target="https://dharmalekha.info/texts/INSBengalCharters00050" TargetMode="External" /><Relationship Type="http://schemas.openxmlformats.org/officeDocument/2006/relationships/hyperlink" Id="rId20" Target="https://dharmalekha.info/texts/INSBengalCharters00051" TargetMode="External" /><Relationship Type="http://schemas.openxmlformats.org/officeDocument/2006/relationships/hyperlink" Id="rId21" Target="https://dharmalekha.info/texts/INSBengalCharters00052" TargetMode="External" /><Relationship Type="http://schemas.openxmlformats.org/officeDocument/2006/relationships/hyperlink" Id="rId10" Target="https://dharmalekha.info/texts/INSBengalCharters00054" TargetMode="External" /><Relationship Type="http://schemas.openxmlformats.org/officeDocument/2006/relationships/hyperlink" Id="rId36" Target="https://dharmalekha.info/texts/INSBengalCharters00055" TargetMode="External" /><Relationship Type="http://schemas.openxmlformats.org/officeDocument/2006/relationships/hyperlink" Id="rId22" Target="https://dharmalekha.info/texts/INSBengalCharters00057" TargetMode="External" /><Relationship Type="http://schemas.openxmlformats.org/officeDocument/2006/relationships/hyperlink" Id="rId49" Target="https://doi.org/10.5281/zenodo.2574901" TargetMode="External" /><Relationship Type="http://schemas.openxmlformats.org/officeDocument/2006/relationships/hyperlink" Id="rId50" Target="https://zenodo.org/records/3360216" TargetMode="External" /></Relationships>
</file>

<file path=word/_rels/footnotes.xml.rels><?xml version="1.0" encoding="UTF-8"?><Relationships xmlns="http://schemas.openxmlformats.org/package/2006/relationships"><Relationship Type="http://schemas.openxmlformats.org/officeDocument/2006/relationships/hyperlink" Id="rId47" Target="https://dharmalekha.info/bibliography/entry/Aiyangar1941_01" TargetMode="External" /><Relationship Type="http://schemas.openxmlformats.org/officeDocument/2006/relationships/hyperlink" Id="rId23" Target="https://dharmalekha.info/bibliography/entry/Apte1890_01" TargetMode="External" /><Relationship Type="http://schemas.openxmlformats.org/officeDocument/2006/relationships/hyperlink" Id="rId11" Target="https://dharmalekha.info/bibliography/entry/Hinueber2013_01" TargetMode="External" /><Relationship Type="http://schemas.openxmlformats.org/officeDocument/2006/relationships/hyperlink" Id="rId45" Target="https://dharmalekha.info/bibliography/entry/Jolly1889_01" TargetMode="External" /><Relationship Type="http://schemas.openxmlformats.org/officeDocument/2006/relationships/hyperlink" Id="rId44" Target="https://dharmalekha.info/bibliography/entry/Lariviere1989_01" TargetMode="External" /><Relationship Type="http://schemas.openxmlformats.org/officeDocument/2006/relationships/hyperlink" Id="rId24" Target="https://dharmalekha.info/bibliography/entry/MonierWilliams1899_01" TargetMode="External" /><Relationship Type="http://schemas.openxmlformats.org/officeDocument/2006/relationships/hyperlink" Id="rId39" Target="https://dharmalekha.info/bibliography/entry/Olivelle2005_01" TargetMode="External" /><Relationship Type="http://schemas.openxmlformats.org/officeDocument/2006/relationships/hyperlink" Id="rId33" Target="https://dharmalekha.info/bibliography/entry/Olivelle2019_01" TargetMode="External" /><Relationship Type="http://schemas.openxmlformats.org/officeDocument/2006/relationships/hyperlink" Id="rId48" Target="https://dharmalekha.info/bibliography/entry/Renou1963_01" TargetMode="External" /><Relationship Type="http://schemas.openxmlformats.org/officeDocument/2006/relationships/hyperlink" Id="rId41" Target="https://dharmalekha.info/bibliography/entry/Sircar1965_03" TargetMode="External" /><Relationship Type="http://schemas.openxmlformats.org/officeDocument/2006/relationships/hyperlink" Id="rId31" Target="https://dharmalekha.info/bibliography/entry/Sircar1966_01" TargetMode="External" /><Relationship Type="http://schemas.openxmlformats.org/officeDocument/2006/relationships/hyperlink" Id="rId16" Target="https://dharmalekha.info/bibliography/entry/Willis2005_01" TargetMode="External" /><Relationship Type="http://schemas.openxmlformats.org/officeDocument/2006/relationships/hyperlink" Id="rId9" Target="https://dharmalekha.info/prosody#prosody-169" TargetMode="External" /><Relationship Type="http://schemas.openxmlformats.org/officeDocument/2006/relationships/hyperlink" Id="rId18" Target="https://dharmalekha.info/texts/INSBengalCharters00032" TargetMode="External" /><Relationship Type="http://schemas.openxmlformats.org/officeDocument/2006/relationships/hyperlink" Id="rId28" Target="https://dharmalekha.info/texts/INSBengalCharters00033" TargetMode="External" /><Relationship Type="http://schemas.openxmlformats.org/officeDocument/2006/relationships/hyperlink" Id="rId12" Target="https://dharmalekha.info/texts/INSBengalCharters00039" TargetMode="External" /><Relationship Type="http://schemas.openxmlformats.org/officeDocument/2006/relationships/hyperlink" Id="rId35" Target="https://dharmalekha.info/texts/INSBengalCharters00050" TargetMode="External" /><Relationship Type="http://schemas.openxmlformats.org/officeDocument/2006/relationships/hyperlink" Id="rId20" Target="https://dharmalekha.info/texts/INSBengalCharters00051" TargetMode="External" /><Relationship Type="http://schemas.openxmlformats.org/officeDocument/2006/relationships/hyperlink" Id="rId21" Target="https://dharmalekha.info/texts/INSBengalCharters00052" TargetMode="External" /><Relationship Type="http://schemas.openxmlformats.org/officeDocument/2006/relationships/hyperlink" Id="rId10" Target="https://dharmalekha.info/texts/INSBengalCharters00054" TargetMode="External" /><Relationship Type="http://schemas.openxmlformats.org/officeDocument/2006/relationships/hyperlink" Id="rId36" Target="https://dharmalekha.info/texts/INSBengalCharters00055" TargetMode="External" /><Relationship Type="http://schemas.openxmlformats.org/officeDocument/2006/relationships/hyperlink" Id="rId22" Target="https://dharmalekha.info/texts/INSBengalCharters00057" TargetMode="External" /><Relationship Type="http://schemas.openxmlformats.org/officeDocument/2006/relationships/hyperlink" Id="rId49" Target="https://doi.org/10.5281/zenodo.2574901" TargetMode="External" /><Relationship Type="http://schemas.openxmlformats.org/officeDocument/2006/relationships/hyperlink" Id="rId50" Target="https://zenodo.org/records/3360216"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Baigram Charter of the Time of Kumāragupta I</dc:title>
  <dc:creator>Dániel Balogh and Arlo Griffiths</dc:creator>
  <cp:keywords/>
  <dcterms:created xsi:type="dcterms:W3CDTF">2026-10-15T15:38:02Z</dcterms:created>
  <dcterms:modified xsi:type="dcterms:W3CDTF">2026-10-15T15:38:02Z</dcterms:modified>
</cp:coreProperties>
</file>

<file path=docProps/custom.xml><?xml version="1.0" encoding="utf-8"?>
<Properties xmlns="http://schemas.openxmlformats.org/officeDocument/2006/custom-properties" xmlns:vt="http://schemas.openxmlformats.org/officeDocument/2006/docPropsVTypes"/>
</file>